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2CF1" w14:textId="77777777" w:rsidR="001C3D33" w:rsidRPr="00054E58" w:rsidRDefault="003B1648" w:rsidP="00901734">
      <w:pPr>
        <w:jc w:val="center"/>
        <w:rPr>
          <w:rFonts w:cs="Arial"/>
          <w:b/>
        </w:rPr>
      </w:pPr>
      <w:r w:rsidRPr="00054E58">
        <w:rPr>
          <w:rFonts w:cs="Arial"/>
          <w:b/>
        </w:rPr>
        <w:t>UNIVERSIDADE FEDERAL DE VIÇOSA</w:t>
      </w:r>
    </w:p>
    <w:p w14:paraId="7CE2E05B" w14:textId="77777777" w:rsidR="00901734" w:rsidRPr="00054E58" w:rsidRDefault="00901734" w:rsidP="00901734">
      <w:pPr>
        <w:jc w:val="center"/>
        <w:rPr>
          <w:rFonts w:cs="Arial"/>
        </w:rPr>
      </w:pPr>
    </w:p>
    <w:p w14:paraId="26C5F5DA" w14:textId="77777777" w:rsidR="00901734" w:rsidRPr="00054E58" w:rsidRDefault="00901734" w:rsidP="00901734">
      <w:pPr>
        <w:jc w:val="center"/>
        <w:rPr>
          <w:rFonts w:cs="Arial"/>
        </w:rPr>
      </w:pPr>
    </w:p>
    <w:p w14:paraId="13756A2A" w14:textId="77777777" w:rsidR="00901734" w:rsidRPr="00054E58" w:rsidRDefault="00901734" w:rsidP="00901734">
      <w:pPr>
        <w:jc w:val="center"/>
        <w:rPr>
          <w:rFonts w:cs="Arial"/>
        </w:rPr>
      </w:pPr>
    </w:p>
    <w:p w14:paraId="1A76890E" w14:textId="77777777" w:rsidR="00AD6979" w:rsidRPr="00054E58" w:rsidRDefault="00AD6979" w:rsidP="00901734">
      <w:pPr>
        <w:jc w:val="center"/>
        <w:rPr>
          <w:rFonts w:cs="Arial"/>
        </w:rPr>
      </w:pPr>
    </w:p>
    <w:p w14:paraId="50748F9D" w14:textId="77777777" w:rsidR="00AD6979" w:rsidRPr="00054E58" w:rsidRDefault="00AD6979" w:rsidP="00901734">
      <w:pPr>
        <w:jc w:val="center"/>
        <w:rPr>
          <w:rFonts w:cs="Arial"/>
        </w:rPr>
      </w:pPr>
    </w:p>
    <w:p w14:paraId="22B65659" w14:textId="77777777" w:rsidR="00AD6979" w:rsidRPr="00054E58" w:rsidRDefault="00AD6979" w:rsidP="00901734">
      <w:pPr>
        <w:jc w:val="center"/>
        <w:rPr>
          <w:rFonts w:cs="Arial"/>
        </w:rPr>
      </w:pPr>
    </w:p>
    <w:p w14:paraId="481B65C7" w14:textId="77777777" w:rsidR="00AD6979" w:rsidRPr="00054E58" w:rsidRDefault="00AD6979" w:rsidP="00901734">
      <w:pPr>
        <w:jc w:val="center"/>
        <w:rPr>
          <w:rFonts w:cs="Arial"/>
        </w:rPr>
      </w:pPr>
    </w:p>
    <w:p w14:paraId="5E1C6E24" w14:textId="77777777" w:rsidR="00AD6979" w:rsidRPr="00054E58" w:rsidRDefault="00AD6979" w:rsidP="00901734">
      <w:pPr>
        <w:jc w:val="center"/>
        <w:rPr>
          <w:rFonts w:cs="Arial"/>
        </w:rPr>
      </w:pPr>
    </w:p>
    <w:p w14:paraId="03BA35AC" w14:textId="77777777" w:rsidR="00AD6979" w:rsidRPr="00054E58" w:rsidRDefault="00AD6979" w:rsidP="00901734">
      <w:pPr>
        <w:jc w:val="center"/>
        <w:rPr>
          <w:rFonts w:cs="Arial"/>
        </w:rPr>
      </w:pPr>
    </w:p>
    <w:p w14:paraId="19A9ABC1" w14:textId="77777777" w:rsidR="00901734" w:rsidRPr="00054E58" w:rsidRDefault="00901734" w:rsidP="00901734">
      <w:pPr>
        <w:jc w:val="center"/>
        <w:rPr>
          <w:rFonts w:cs="Arial"/>
          <w:b/>
        </w:rPr>
      </w:pPr>
      <w:r w:rsidRPr="00054E58">
        <w:rPr>
          <w:rFonts w:cs="Arial"/>
          <w:b/>
        </w:rPr>
        <w:t>HILDA BARBOSA GLORIA</w:t>
      </w:r>
    </w:p>
    <w:p w14:paraId="1D2EBB4B" w14:textId="77777777" w:rsidR="00AD6979" w:rsidRPr="00054E58" w:rsidRDefault="00AD6979" w:rsidP="00AD6979">
      <w:pPr>
        <w:rPr>
          <w:rFonts w:cs="Arial"/>
        </w:rPr>
      </w:pPr>
    </w:p>
    <w:p w14:paraId="24D3FE38" w14:textId="77777777" w:rsidR="00AD6979" w:rsidRPr="00054E58" w:rsidRDefault="00AD6979" w:rsidP="00AD6979">
      <w:pPr>
        <w:rPr>
          <w:rFonts w:cs="Arial"/>
        </w:rPr>
      </w:pPr>
    </w:p>
    <w:p w14:paraId="73CC793E" w14:textId="77777777" w:rsidR="00AD6979" w:rsidRPr="00054E58" w:rsidRDefault="00AD6979" w:rsidP="00AD6979">
      <w:pPr>
        <w:rPr>
          <w:rFonts w:cs="Arial"/>
        </w:rPr>
      </w:pPr>
    </w:p>
    <w:p w14:paraId="065423A2" w14:textId="77777777" w:rsidR="00AD6979" w:rsidRPr="00054E58" w:rsidRDefault="00AD6979" w:rsidP="00AD6979">
      <w:pPr>
        <w:rPr>
          <w:rFonts w:cs="Arial"/>
        </w:rPr>
      </w:pPr>
    </w:p>
    <w:p w14:paraId="64E7A4BD" w14:textId="77777777" w:rsidR="00AD6979" w:rsidRPr="00054E58" w:rsidRDefault="00AD6979" w:rsidP="00AD6979">
      <w:pPr>
        <w:jc w:val="left"/>
        <w:rPr>
          <w:rFonts w:cs="Arial"/>
        </w:rPr>
      </w:pPr>
    </w:p>
    <w:p w14:paraId="25A7CAEB" w14:textId="77777777" w:rsidR="00AD6979" w:rsidRPr="00054E58" w:rsidRDefault="00AD6979" w:rsidP="00901734">
      <w:pPr>
        <w:jc w:val="center"/>
        <w:rPr>
          <w:rFonts w:cs="Arial"/>
        </w:rPr>
      </w:pPr>
    </w:p>
    <w:p w14:paraId="31204E32" w14:textId="77777777" w:rsidR="00AD6979" w:rsidRPr="00054E58" w:rsidRDefault="00AD6979" w:rsidP="00901734">
      <w:pPr>
        <w:jc w:val="center"/>
        <w:rPr>
          <w:rFonts w:cs="Arial"/>
        </w:rPr>
      </w:pPr>
    </w:p>
    <w:p w14:paraId="3F64B02D" w14:textId="77777777" w:rsidR="00AD6979" w:rsidRPr="00054E58" w:rsidRDefault="00AD6979" w:rsidP="00901734">
      <w:pPr>
        <w:jc w:val="center"/>
        <w:rPr>
          <w:rFonts w:cs="Arial"/>
        </w:rPr>
      </w:pPr>
    </w:p>
    <w:p w14:paraId="14C78A4A" w14:textId="77777777" w:rsidR="00901734" w:rsidRPr="00054E58" w:rsidRDefault="00901734" w:rsidP="00901734">
      <w:pPr>
        <w:jc w:val="center"/>
        <w:rPr>
          <w:rFonts w:cs="Arial"/>
          <w:b/>
        </w:rPr>
      </w:pPr>
    </w:p>
    <w:p w14:paraId="4610E77D" w14:textId="3949A922" w:rsidR="00901734" w:rsidRPr="00054E58" w:rsidRDefault="008B2C23" w:rsidP="0090173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ALTERAÇÕES QUÍMICAS DO SOLO APÓS APLICAÇÃO DE FONTES DE CALCÁRIO</w:t>
      </w:r>
    </w:p>
    <w:p w14:paraId="118D7F81" w14:textId="77777777" w:rsidR="00901734" w:rsidRPr="00054E58" w:rsidRDefault="00901734" w:rsidP="00901734">
      <w:pPr>
        <w:jc w:val="center"/>
        <w:rPr>
          <w:rFonts w:cs="Arial"/>
          <w:b/>
        </w:rPr>
      </w:pPr>
    </w:p>
    <w:p w14:paraId="7C612A36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369D5C38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4DE79AE6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22C56962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0A68ABF9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6C9A1AFD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6F0A4A34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78CD951D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01DE6CDB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4D02AFA7" w14:textId="77777777" w:rsidR="00901734" w:rsidRPr="00054E58" w:rsidRDefault="00901734" w:rsidP="00901734">
      <w:pPr>
        <w:jc w:val="center"/>
        <w:rPr>
          <w:rFonts w:cs="Arial"/>
          <w:b/>
        </w:rPr>
      </w:pPr>
      <w:r w:rsidRPr="00054E58">
        <w:rPr>
          <w:rFonts w:cs="Arial"/>
          <w:b/>
        </w:rPr>
        <w:t>VIÇOSA – MINAS GERAIS</w:t>
      </w:r>
    </w:p>
    <w:p w14:paraId="7B1965F2" w14:textId="77777777" w:rsidR="00AD6979" w:rsidRPr="00054E58" w:rsidRDefault="00901734" w:rsidP="00AD6979">
      <w:pPr>
        <w:jc w:val="center"/>
        <w:rPr>
          <w:rFonts w:cs="Arial"/>
          <w:b/>
        </w:rPr>
      </w:pPr>
      <w:r w:rsidRPr="00054E58">
        <w:rPr>
          <w:rFonts w:cs="Arial"/>
          <w:b/>
        </w:rPr>
        <w:t>2017</w:t>
      </w:r>
      <w:r w:rsidR="00AD6979" w:rsidRPr="00054E58">
        <w:rPr>
          <w:rFonts w:cs="Arial"/>
          <w:b/>
        </w:rPr>
        <w:br w:type="page"/>
      </w:r>
    </w:p>
    <w:p w14:paraId="6878F168" w14:textId="0837A671" w:rsidR="00054E58" w:rsidRPr="00054E58" w:rsidRDefault="00AD6979" w:rsidP="00F8396B">
      <w:pPr>
        <w:jc w:val="center"/>
        <w:rPr>
          <w:rFonts w:cs="Arial"/>
          <w:b/>
        </w:rPr>
      </w:pPr>
      <w:r w:rsidRPr="00054E58">
        <w:rPr>
          <w:rFonts w:cs="Arial"/>
          <w:b/>
        </w:rPr>
        <w:lastRenderedPageBreak/>
        <w:t>HILDA BARBOSA GLORIA</w:t>
      </w:r>
    </w:p>
    <w:p w14:paraId="02D1FF2C" w14:textId="77777777" w:rsidR="00054E58" w:rsidRPr="00054E58" w:rsidRDefault="00054E58" w:rsidP="00901734">
      <w:pPr>
        <w:jc w:val="center"/>
        <w:rPr>
          <w:rFonts w:cs="Arial"/>
          <w:b/>
        </w:rPr>
      </w:pPr>
    </w:p>
    <w:p w14:paraId="4D36ED09" w14:textId="77777777" w:rsidR="00054E58" w:rsidRPr="00054E58" w:rsidRDefault="00054E58" w:rsidP="00901734">
      <w:pPr>
        <w:jc w:val="center"/>
        <w:rPr>
          <w:rFonts w:cs="Arial"/>
          <w:b/>
        </w:rPr>
      </w:pPr>
    </w:p>
    <w:p w14:paraId="4F3058FF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0CD3209B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1A96985A" w14:textId="4358FE10" w:rsidR="00AD6979" w:rsidRPr="00054E58" w:rsidRDefault="008B2C23" w:rsidP="00901734">
      <w:pPr>
        <w:jc w:val="center"/>
        <w:rPr>
          <w:rFonts w:cs="Arial"/>
          <w:b/>
        </w:rPr>
      </w:pPr>
      <w:r>
        <w:rPr>
          <w:rFonts w:cs="Arial"/>
          <w:b/>
        </w:rPr>
        <w:t>ALTERAÇÕES QUÍMICAS DO SOLO APÓS APLICAÇÃO DE FONTES DE CALCÁRIO</w:t>
      </w:r>
      <w:r w:rsidRPr="00054E58">
        <w:rPr>
          <w:rFonts w:cs="Arial"/>
          <w:b/>
        </w:rPr>
        <w:t xml:space="preserve"> </w:t>
      </w:r>
    </w:p>
    <w:p w14:paraId="1E5F7775" w14:textId="77777777" w:rsidR="00AD6979" w:rsidRPr="00054E58" w:rsidRDefault="00AD6979" w:rsidP="00901734">
      <w:pPr>
        <w:jc w:val="center"/>
        <w:rPr>
          <w:rFonts w:cs="Arial"/>
          <w:b/>
        </w:rPr>
      </w:pPr>
    </w:p>
    <w:p w14:paraId="7D4386DA" w14:textId="77777777" w:rsidR="00054E58" w:rsidRPr="00054E58" w:rsidRDefault="00054E58" w:rsidP="00F8396B">
      <w:pPr>
        <w:rPr>
          <w:rFonts w:cs="Arial"/>
          <w:b/>
        </w:rPr>
      </w:pPr>
    </w:p>
    <w:p w14:paraId="5119724D" w14:textId="77777777" w:rsidR="00054E58" w:rsidRPr="00054E58" w:rsidRDefault="00054E58" w:rsidP="00F8396B">
      <w:pPr>
        <w:rPr>
          <w:rFonts w:cs="Arial"/>
          <w:b/>
        </w:rPr>
      </w:pPr>
    </w:p>
    <w:p w14:paraId="5842D89A" w14:textId="77777777" w:rsidR="00054E58" w:rsidRPr="00054E58" w:rsidRDefault="00054E58" w:rsidP="00901734">
      <w:pPr>
        <w:jc w:val="center"/>
        <w:rPr>
          <w:rFonts w:cs="Arial"/>
          <w:b/>
        </w:rPr>
      </w:pPr>
    </w:p>
    <w:p w14:paraId="177C639D" w14:textId="77777777" w:rsidR="00054E58" w:rsidRPr="00054E58" w:rsidRDefault="00054E58" w:rsidP="00054E58">
      <w:pPr>
        <w:ind w:left="4536"/>
        <w:rPr>
          <w:rFonts w:cs="Arial"/>
        </w:rPr>
      </w:pPr>
      <w:r w:rsidRPr="00054E58">
        <w:rPr>
          <w:rFonts w:cs="Arial"/>
        </w:rPr>
        <w:t>Relatório final, apresentado a Universidade Federal de Viçosa, como parte das exigências para a obtenção do título de Engenheiro Agrônomo.</w:t>
      </w:r>
    </w:p>
    <w:p w14:paraId="1A064572" w14:textId="77777777" w:rsidR="00054E58" w:rsidRPr="00054E58" w:rsidRDefault="00054E58" w:rsidP="00054E58">
      <w:pPr>
        <w:ind w:left="4536"/>
        <w:jc w:val="right"/>
        <w:rPr>
          <w:rFonts w:cs="Arial"/>
        </w:rPr>
      </w:pPr>
    </w:p>
    <w:p w14:paraId="7DA2DDDC" w14:textId="77777777" w:rsidR="00054E58" w:rsidRPr="00054E58" w:rsidRDefault="00054E58" w:rsidP="00054E58">
      <w:pPr>
        <w:ind w:left="4536"/>
        <w:rPr>
          <w:rFonts w:eastAsia="Times New Roman" w:cs="Arial"/>
        </w:rPr>
      </w:pPr>
      <w:r w:rsidRPr="00054E58">
        <w:rPr>
          <w:rFonts w:cs="Arial"/>
        </w:rPr>
        <w:t xml:space="preserve">Orientador: </w:t>
      </w:r>
      <w:proofErr w:type="spellStart"/>
      <w:r w:rsidRPr="00054E58">
        <w:rPr>
          <w:rFonts w:cs="Arial"/>
        </w:rPr>
        <w:t>Leonardus</w:t>
      </w:r>
      <w:proofErr w:type="spellEnd"/>
      <w:r w:rsidRPr="00054E58">
        <w:rPr>
          <w:rFonts w:cs="Arial"/>
        </w:rPr>
        <w:t xml:space="preserve"> </w:t>
      </w:r>
      <w:proofErr w:type="spellStart"/>
      <w:r w:rsidRPr="00054E58">
        <w:rPr>
          <w:rFonts w:cs="Arial"/>
        </w:rPr>
        <w:t>Verg</w:t>
      </w:r>
      <w:r w:rsidRPr="00054E58">
        <w:rPr>
          <w:rFonts w:eastAsia="Times New Roman" w:cs="Arial"/>
        </w:rPr>
        <w:t>ütz</w:t>
      </w:r>
      <w:proofErr w:type="spellEnd"/>
      <w:r w:rsidRPr="00054E58">
        <w:rPr>
          <w:rFonts w:cs="Arial"/>
        </w:rPr>
        <w:t xml:space="preserve"> </w:t>
      </w:r>
    </w:p>
    <w:p w14:paraId="6C262AA5" w14:textId="77777777" w:rsidR="00054E58" w:rsidRPr="00054E58" w:rsidRDefault="00054E58" w:rsidP="00054E58">
      <w:pPr>
        <w:ind w:left="4536"/>
        <w:rPr>
          <w:rFonts w:cs="Arial"/>
        </w:rPr>
      </w:pPr>
    </w:p>
    <w:p w14:paraId="0F3EE12C" w14:textId="77777777" w:rsidR="00054E58" w:rsidRPr="00054E58" w:rsidRDefault="00054E58" w:rsidP="00054E58">
      <w:pPr>
        <w:ind w:left="4536"/>
        <w:rPr>
          <w:rFonts w:cs="Arial"/>
        </w:rPr>
      </w:pPr>
      <w:proofErr w:type="spellStart"/>
      <w:r w:rsidRPr="00054E58">
        <w:rPr>
          <w:rFonts w:cs="Arial"/>
        </w:rPr>
        <w:t>Co-orientadores</w:t>
      </w:r>
      <w:proofErr w:type="spellEnd"/>
      <w:r w:rsidRPr="00054E58">
        <w:rPr>
          <w:rFonts w:cs="Arial"/>
        </w:rPr>
        <w:t>: Matheus F. F. Teixeira</w:t>
      </w:r>
    </w:p>
    <w:p w14:paraId="7A5117BE" w14:textId="77777777" w:rsidR="00054E58" w:rsidRPr="00054E58" w:rsidRDefault="00054E58" w:rsidP="00054E58">
      <w:pPr>
        <w:ind w:left="4536"/>
        <w:rPr>
          <w:rFonts w:cs="Arial"/>
        </w:rPr>
      </w:pPr>
    </w:p>
    <w:p w14:paraId="1408CE29" w14:textId="77777777" w:rsidR="00054E58" w:rsidRPr="00054E58" w:rsidRDefault="00054E58" w:rsidP="00054E58">
      <w:pPr>
        <w:ind w:left="5664"/>
        <w:rPr>
          <w:rFonts w:cs="Arial"/>
        </w:rPr>
      </w:pPr>
      <w:r w:rsidRPr="00054E58">
        <w:rPr>
          <w:rFonts w:cs="Arial"/>
        </w:rPr>
        <w:t xml:space="preserve">           Abraão Almeida Santos</w:t>
      </w:r>
    </w:p>
    <w:p w14:paraId="30D9B15E" w14:textId="77777777" w:rsidR="00054E58" w:rsidRPr="00054E58" w:rsidRDefault="00054E58" w:rsidP="00054E58">
      <w:pPr>
        <w:rPr>
          <w:rFonts w:cs="Arial"/>
        </w:rPr>
      </w:pPr>
    </w:p>
    <w:p w14:paraId="2A763F03" w14:textId="77777777" w:rsidR="00054E58" w:rsidRPr="00054E58" w:rsidRDefault="00054E58" w:rsidP="00901734">
      <w:pPr>
        <w:jc w:val="center"/>
        <w:rPr>
          <w:rFonts w:cs="Arial"/>
        </w:rPr>
      </w:pPr>
    </w:p>
    <w:p w14:paraId="155C2418" w14:textId="77777777" w:rsidR="00054E58" w:rsidRPr="00054E58" w:rsidRDefault="00054E58" w:rsidP="00901734">
      <w:pPr>
        <w:jc w:val="center"/>
        <w:rPr>
          <w:rFonts w:cs="Arial"/>
        </w:rPr>
      </w:pPr>
    </w:p>
    <w:p w14:paraId="0AE16392" w14:textId="77777777" w:rsidR="00054E58" w:rsidRPr="00054E58" w:rsidRDefault="00054E58" w:rsidP="00901734">
      <w:pPr>
        <w:jc w:val="center"/>
        <w:rPr>
          <w:rFonts w:cs="Arial"/>
        </w:rPr>
      </w:pPr>
    </w:p>
    <w:p w14:paraId="667C9B36" w14:textId="77777777" w:rsidR="00054E58" w:rsidRDefault="00054E58" w:rsidP="00F8396B">
      <w:pPr>
        <w:rPr>
          <w:rFonts w:cs="Arial"/>
        </w:rPr>
      </w:pPr>
    </w:p>
    <w:p w14:paraId="59F8FD90" w14:textId="77777777" w:rsidR="00F8396B" w:rsidRPr="00054E58" w:rsidRDefault="00F8396B" w:rsidP="00F8396B">
      <w:pPr>
        <w:rPr>
          <w:rFonts w:cs="Arial"/>
        </w:rPr>
      </w:pPr>
    </w:p>
    <w:p w14:paraId="555B45B3" w14:textId="77777777" w:rsidR="00054E58" w:rsidRPr="00054E58" w:rsidRDefault="00054E58" w:rsidP="00901734">
      <w:pPr>
        <w:jc w:val="center"/>
        <w:rPr>
          <w:rFonts w:cs="Arial"/>
        </w:rPr>
      </w:pPr>
    </w:p>
    <w:p w14:paraId="298DD120" w14:textId="77777777" w:rsidR="00054E58" w:rsidRDefault="00054E58" w:rsidP="00901734">
      <w:pPr>
        <w:jc w:val="center"/>
        <w:rPr>
          <w:rFonts w:cs="Arial"/>
        </w:rPr>
      </w:pPr>
    </w:p>
    <w:p w14:paraId="409C7E15" w14:textId="77777777" w:rsidR="00054E58" w:rsidRDefault="00054E58" w:rsidP="00901734">
      <w:pPr>
        <w:jc w:val="center"/>
        <w:rPr>
          <w:rFonts w:cs="Arial"/>
        </w:rPr>
      </w:pPr>
    </w:p>
    <w:p w14:paraId="4E9DD414" w14:textId="77777777" w:rsidR="00054E58" w:rsidRDefault="00054E58" w:rsidP="00901734">
      <w:pPr>
        <w:jc w:val="center"/>
        <w:rPr>
          <w:rFonts w:cs="Arial"/>
        </w:rPr>
      </w:pPr>
    </w:p>
    <w:p w14:paraId="17DDE50D" w14:textId="77777777" w:rsidR="00054E58" w:rsidRPr="00054E58" w:rsidRDefault="00054E58" w:rsidP="00901734">
      <w:pPr>
        <w:jc w:val="center"/>
        <w:rPr>
          <w:rFonts w:cs="Arial"/>
        </w:rPr>
      </w:pPr>
    </w:p>
    <w:p w14:paraId="36A8D8C6" w14:textId="77777777" w:rsidR="00054E58" w:rsidRPr="00054E58" w:rsidRDefault="00054E58" w:rsidP="00054E58">
      <w:pPr>
        <w:jc w:val="center"/>
        <w:rPr>
          <w:rFonts w:cs="Arial"/>
          <w:b/>
        </w:rPr>
      </w:pPr>
      <w:r w:rsidRPr="00054E58">
        <w:rPr>
          <w:rFonts w:cs="Arial"/>
          <w:b/>
        </w:rPr>
        <w:t>VIÇOSA – MINAS GERAIS</w:t>
      </w:r>
    </w:p>
    <w:p w14:paraId="0690EE7D" w14:textId="77777777" w:rsidR="00AD6979" w:rsidRPr="00054E58" w:rsidRDefault="00054E58" w:rsidP="00054E58">
      <w:pPr>
        <w:jc w:val="center"/>
        <w:rPr>
          <w:rFonts w:cs="Arial"/>
          <w:b/>
        </w:rPr>
      </w:pPr>
      <w:r w:rsidRPr="00054E58">
        <w:rPr>
          <w:rFonts w:cs="Arial"/>
          <w:b/>
        </w:rPr>
        <w:t>2017</w:t>
      </w:r>
    </w:p>
    <w:p w14:paraId="0119DAA0" w14:textId="77777777" w:rsidR="00054E58" w:rsidRPr="00054E58" w:rsidRDefault="00054E58" w:rsidP="00054E58">
      <w:pPr>
        <w:jc w:val="center"/>
        <w:rPr>
          <w:rFonts w:cs="Arial"/>
          <w:b/>
        </w:rPr>
      </w:pPr>
      <w:r w:rsidRPr="00054E58">
        <w:rPr>
          <w:rFonts w:cs="Arial"/>
          <w:b/>
        </w:rPr>
        <w:lastRenderedPageBreak/>
        <w:t>HILDA BARBOSA GLORIA</w:t>
      </w:r>
    </w:p>
    <w:p w14:paraId="57E4DBDA" w14:textId="77777777" w:rsidR="00054E58" w:rsidRDefault="00054E58" w:rsidP="00054E58">
      <w:pPr>
        <w:jc w:val="center"/>
        <w:rPr>
          <w:rFonts w:cs="Arial"/>
          <w:b/>
        </w:rPr>
      </w:pPr>
    </w:p>
    <w:p w14:paraId="01D32F17" w14:textId="77777777" w:rsidR="00456914" w:rsidRDefault="00456914" w:rsidP="00054E58">
      <w:pPr>
        <w:jc w:val="center"/>
        <w:rPr>
          <w:rFonts w:cs="Arial"/>
          <w:b/>
        </w:rPr>
      </w:pPr>
    </w:p>
    <w:p w14:paraId="1DC22BB9" w14:textId="77777777" w:rsidR="00456914" w:rsidRDefault="00456914" w:rsidP="00054E58">
      <w:pPr>
        <w:jc w:val="center"/>
        <w:rPr>
          <w:rFonts w:cs="Arial"/>
          <w:b/>
        </w:rPr>
      </w:pPr>
    </w:p>
    <w:p w14:paraId="3D140BB0" w14:textId="77777777" w:rsidR="00456914" w:rsidRPr="00054E58" w:rsidRDefault="00456914" w:rsidP="00054E58">
      <w:pPr>
        <w:jc w:val="center"/>
        <w:rPr>
          <w:rFonts w:cs="Arial"/>
          <w:b/>
        </w:rPr>
      </w:pPr>
    </w:p>
    <w:p w14:paraId="38496FD2" w14:textId="481796A9" w:rsidR="00456914" w:rsidRDefault="008B2C23" w:rsidP="008B2C23">
      <w:pPr>
        <w:jc w:val="right"/>
        <w:rPr>
          <w:rFonts w:cs="Arial"/>
          <w:b/>
        </w:rPr>
      </w:pPr>
      <w:r>
        <w:rPr>
          <w:rFonts w:cs="Arial"/>
          <w:b/>
        </w:rPr>
        <w:t>ALTERAÇÕES QUÍMICAS DO SOLO APÓS APLICAÇÃO DE FONTES DE CALCÁRIO</w:t>
      </w:r>
    </w:p>
    <w:p w14:paraId="7453904C" w14:textId="77777777" w:rsidR="00456914" w:rsidRPr="00054E58" w:rsidRDefault="00456914" w:rsidP="00054E58">
      <w:pPr>
        <w:jc w:val="center"/>
        <w:rPr>
          <w:rFonts w:cs="Arial"/>
          <w:b/>
        </w:rPr>
      </w:pPr>
    </w:p>
    <w:p w14:paraId="0492932F" w14:textId="087FAF06" w:rsidR="00054E58" w:rsidRDefault="00054E58" w:rsidP="00F8396B">
      <w:pPr>
        <w:ind w:left="4536"/>
        <w:rPr>
          <w:rFonts w:cs="Arial"/>
        </w:rPr>
      </w:pPr>
      <w:r w:rsidRPr="00054E58">
        <w:rPr>
          <w:rFonts w:cs="Arial"/>
        </w:rPr>
        <w:t>Relatório final, apresentado a Universidade Federal de Viçosa, como parte das exigências para a obtenção do título de Engenheiro Agrônomo.</w:t>
      </w:r>
    </w:p>
    <w:p w14:paraId="0B3C1F92" w14:textId="77777777" w:rsidR="00054E58" w:rsidRPr="00054E58" w:rsidRDefault="00054E58" w:rsidP="00F4228F">
      <w:pPr>
        <w:ind w:left="4536"/>
        <w:jc w:val="left"/>
        <w:rPr>
          <w:rFonts w:cs="Arial"/>
        </w:rPr>
      </w:pPr>
    </w:p>
    <w:p w14:paraId="7B186AC1" w14:textId="15A20219" w:rsidR="00F4228F" w:rsidRDefault="00F4228F" w:rsidP="00F4228F">
      <w:r w:rsidRPr="00F4228F">
        <w:t>APROVADA: 30 de junho de 2017</w:t>
      </w:r>
    </w:p>
    <w:p w14:paraId="72C46D90" w14:textId="77777777" w:rsidR="00F4228F" w:rsidRDefault="00F4228F" w:rsidP="00F4228F"/>
    <w:p w14:paraId="74AC2C77" w14:textId="77777777" w:rsidR="00F4228F" w:rsidRDefault="00F4228F" w:rsidP="00F4228F"/>
    <w:p w14:paraId="0C32B484" w14:textId="4F720AD8" w:rsidR="00456914" w:rsidRDefault="00F4228F" w:rsidP="00456914">
      <w:r>
        <w:t>____________________________</w:t>
      </w:r>
      <w:r w:rsidR="00456914">
        <w:t xml:space="preserve"> </w:t>
      </w:r>
      <w:r w:rsidR="00F8396B">
        <w:tab/>
      </w:r>
      <w:r w:rsidR="00F8396B">
        <w:tab/>
      </w:r>
      <w:r w:rsidR="00456914">
        <w:t>____________________________</w:t>
      </w:r>
    </w:p>
    <w:p w14:paraId="1043D2FE" w14:textId="4185603F" w:rsidR="00456914" w:rsidRDefault="00456914" w:rsidP="00456914">
      <w:pPr>
        <w:ind w:firstLine="708"/>
      </w:pPr>
      <w:r>
        <w:t>Matheus F. F. Teixeira</w:t>
      </w:r>
      <w:r w:rsidR="00F8396B">
        <w:tab/>
      </w:r>
      <w:r w:rsidR="00F8396B">
        <w:tab/>
      </w:r>
      <w:r w:rsidR="00F8396B">
        <w:tab/>
      </w:r>
      <w:r>
        <w:t xml:space="preserve">     Prof. </w:t>
      </w:r>
      <w:proofErr w:type="spellStart"/>
      <w:r>
        <w:t>Moacil</w:t>
      </w:r>
      <w:proofErr w:type="spellEnd"/>
      <w:r>
        <w:t xml:space="preserve"> Alves de Souza</w:t>
      </w:r>
    </w:p>
    <w:p w14:paraId="1502261B" w14:textId="7FD72C66" w:rsidR="00456914" w:rsidRDefault="00456914" w:rsidP="00F8396B">
      <w:pPr>
        <w:ind w:firstLine="708"/>
      </w:pPr>
      <w:r>
        <w:t xml:space="preserve">    (</w:t>
      </w:r>
      <w:proofErr w:type="spellStart"/>
      <w:r>
        <w:t>Co-orientador</w:t>
      </w:r>
      <w:proofErr w:type="spellEnd"/>
      <w:r>
        <w:t>)</w:t>
      </w:r>
      <w:r>
        <w:tab/>
      </w:r>
      <w:r>
        <w:tab/>
      </w:r>
      <w:r>
        <w:tab/>
      </w:r>
      <w:r w:rsidR="00F8396B">
        <w:tab/>
      </w:r>
      <w:r w:rsidR="00F8396B">
        <w:tab/>
      </w:r>
      <w:r w:rsidR="00F8396B">
        <w:tab/>
      </w:r>
      <w:r>
        <w:t xml:space="preserve">   </w:t>
      </w:r>
      <w:proofErr w:type="gramStart"/>
      <w:r>
        <w:t xml:space="preserve">   (</w:t>
      </w:r>
      <w:proofErr w:type="gramEnd"/>
      <w:r>
        <w:t>UFV)</w:t>
      </w:r>
    </w:p>
    <w:p w14:paraId="0E7C8665" w14:textId="77777777" w:rsidR="00F4228F" w:rsidRDefault="00456914" w:rsidP="00F4228F">
      <w:r>
        <w:t xml:space="preserve">                          (UFV)</w:t>
      </w:r>
      <w:r>
        <w:tab/>
      </w:r>
      <w:r>
        <w:tab/>
      </w:r>
      <w:r>
        <w:tab/>
      </w:r>
      <w:r>
        <w:tab/>
      </w:r>
      <w:r>
        <w:tab/>
      </w:r>
    </w:p>
    <w:p w14:paraId="5A3C8717" w14:textId="77777777" w:rsidR="00456914" w:rsidRDefault="00456914" w:rsidP="00F4228F"/>
    <w:p w14:paraId="54AEA059" w14:textId="77777777" w:rsidR="00456914" w:rsidRDefault="00456914" w:rsidP="00F4228F"/>
    <w:p w14:paraId="4A4A5232" w14:textId="09F18289" w:rsidR="00456914" w:rsidRDefault="00456914" w:rsidP="00F4228F">
      <w:r>
        <w:t>____________________________</w:t>
      </w:r>
      <w:r w:rsidR="00F8396B">
        <w:tab/>
      </w:r>
      <w:r w:rsidR="00F8396B">
        <w:tab/>
      </w:r>
      <w:r>
        <w:t>____________________________</w:t>
      </w:r>
    </w:p>
    <w:p w14:paraId="2040162B" w14:textId="7F69B935" w:rsidR="00456914" w:rsidRDefault="00456914" w:rsidP="00456914">
      <w:pPr>
        <w:ind w:firstLine="708"/>
      </w:pPr>
      <w:r>
        <w:t>Abraão Almeida Santos</w:t>
      </w:r>
      <w:r>
        <w:tab/>
      </w:r>
      <w:r>
        <w:tab/>
      </w:r>
      <w:r w:rsidR="00F8396B">
        <w:tab/>
        <w:t xml:space="preserve">     </w:t>
      </w:r>
      <w:r>
        <w:t xml:space="preserve"> Prof. José Geraldo Barbosa</w:t>
      </w:r>
    </w:p>
    <w:p w14:paraId="559F2678" w14:textId="12FF8D86" w:rsidR="00456914" w:rsidRDefault="00456914" w:rsidP="00456914">
      <w:pPr>
        <w:ind w:firstLine="708"/>
      </w:pPr>
      <w:r>
        <w:t xml:space="preserve">        (</w:t>
      </w:r>
      <w:proofErr w:type="spellStart"/>
      <w:r>
        <w:t>Co-orientador</w:t>
      </w:r>
      <w:proofErr w:type="spellEnd"/>
      <w:r>
        <w:t>)</w:t>
      </w:r>
      <w:r>
        <w:tab/>
      </w:r>
      <w:r>
        <w:tab/>
      </w:r>
      <w:r w:rsidR="00F8396B">
        <w:tab/>
      </w:r>
      <w:r>
        <w:tab/>
      </w:r>
      <w:r>
        <w:tab/>
        <w:t>(UFV)</w:t>
      </w:r>
    </w:p>
    <w:p w14:paraId="1F848CA4" w14:textId="6D3E423A" w:rsidR="00456914" w:rsidRDefault="00456914" w:rsidP="00F8396B">
      <w:pPr>
        <w:ind w:left="708" w:firstLine="708"/>
      </w:pPr>
      <w:r>
        <w:t xml:space="preserve">     </w:t>
      </w:r>
      <w:r w:rsidR="00F8396B">
        <w:t>(UFV)</w:t>
      </w:r>
    </w:p>
    <w:p w14:paraId="3B143962" w14:textId="77777777" w:rsidR="00456914" w:rsidRDefault="00456914" w:rsidP="00F4228F"/>
    <w:p w14:paraId="5176A791" w14:textId="77777777" w:rsidR="00F8396B" w:rsidRDefault="00F8396B" w:rsidP="00F4228F"/>
    <w:p w14:paraId="11EA3B39" w14:textId="77777777" w:rsidR="00456914" w:rsidRDefault="00456914" w:rsidP="00F4228F"/>
    <w:p w14:paraId="61EEAC48" w14:textId="77777777" w:rsidR="00456914" w:rsidRDefault="00456914" w:rsidP="00456914">
      <w:pPr>
        <w:jc w:val="center"/>
      </w:pPr>
      <w:r>
        <w:t xml:space="preserve">   ____________________________</w:t>
      </w:r>
    </w:p>
    <w:p w14:paraId="1C54374D" w14:textId="77777777" w:rsidR="00456914" w:rsidRDefault="00456914" w:rsidP="00456914">
      <w:pPr>
        <w:jc w:val="center"/>
        <w:rPr>
          <w:rFonts w:eastAsia="Times New Roman"/>
        </w:rPr>
      </w:pPr>
      <w:r>
        <w:t xml:space="preserve"> Prof. </w:t>
      </w:r>
      <w:proofErr w:type="spellStart"/>
      <w:r>
        <w:t>Leonardus</w:t>
      </w:r>
      <w:proofErr w:type="spellEnd"/>
      <w:r>
        <w:t xml:space="preserve"> </w:t>
      </w:r>
      <w:proofErr w:type="spellStart"/>
      <w:r>
        <w:rPr>
          <w:rFonts w:eastAsia="Times New Roman"/>
        </w:rPr>
        <w:t>Verg</w:t>
      </w:r>
      <w:r w:rsidRPr="00DD650A">
        <w:rPr>
          <w:rFonts w:eastAsia="Times New Roman"/>
        </w:rPr>
        <w:t>ütz</w:t>
      </w:r>
      <w:proofErr w:type="spellEnd"/>
    </w:p>
    <w:p w14:paraId="65DA4316" w14:textId="77777777" w:rsidR="00456914" w:rsidRDefault="00456914" w:rsidP="00456914">
      <w:pPr>
        <w:jc w:val="center"/>
        <w:rPr>
          <w:rFonts w:eastAsia="Times New Roman"/>
        </w:rPr>
      </w:pPr>
      <w:r>
        <w:rPr>
          <w:rFonts w:eastAsia="Times New Roman"/>
        </w:rPr>
        <w:t>(Orientador)</w:t>
      </w:r>
    </w:p>
    <w:p w14:paraId="014C9317" w14:textId="3F8BD69A" w:rsidR="00C37D2E" w:rsidRDefault="00456914" w:rsidP="00C37D2E">
      <w:pPr>
        <w:jc w:val="center"/>
        <w:rPr>
          <w:rFonts w:eastAsia="Times New Roman"/>
        </w:rPr>
      </w:pPr>
      <w:r>
        <w:rPr>
          <w:rFonts w:eastAsia="Times New Roman"/>
        </w:rPr>
        <w:t>(UFV)</w:t>
      </w:r>
    </w:p>
    <w:p w14:paraId="71B382A3" w14:textId="77777777" w:rsidR="0056690F" w:rsidRDefault="00C37D2E" w:rsidP="004F2620">
      <w:pPr>
        <w:pStyle w:val="Ttulo"/>
        <w:jc w:val="center"/>
        <w:rPr>
          <w:rFonts w:ascii="Arial" w:hAnsi="Arial" w:cs="Arial"/>
          <w:sz w:val="24"/>
          <w:szCs w:val="24"/>
        </w:rPr>
      </w:pPr>
      <w:r w:rsidRPr="004F2620">
        <w:rPr>
          <w:rFonts w:ascii="Arial" w:hAnsi="Arial" w:cs="Arial"/>
          <w:sz w:val="24"/>
          <w:szCs w:val="24"/>
        </w:rPr>
        <w:t>RESUMO</w:t>
      </w:r>
    </w:p>
    <w:p w14:paraId="781B3614" w14:textId="77777777" w:rsidR="006916BF" w:rsidRDefault="006916BF" w:rsidP="006916BF"/>
    <w:p w14:paraId="46F684D1" w14:textId="77777777" w:rsidR="006916BF" w:rsidRPr="006916BF" w:rsidRDefault="006916BF" w:rsidP="006916BF"/>
    <w:p w14:paraId="7EE82EC6" w14:textId="4114B54E" w:rsidR="0013541D" w:rsidRDefault="00B5067E" w:rsidP="006916BF">
      <w:pPr>
        <w:pBdr>
          <w:bottom w:val="single" w:sz="12" w:space="1" w:color="auto"/>
        </w:pBdr>
      </w:pPr>
      <w:r>
        <w:t xml:space="preserve">A produção de milho semente tem alto valor agregado e calendário de plantio restrito. Portanto a acidez do solo deve ser corrigida em um curto espaço de tempo nas áreas contratadas temporariamente para garantir a produtividade </w:t>
      </w:r>
      <w:r w:rsidR="0013541D">
        <w:t xml:space="preserve">esperada. Este trabalho objetivou avaliar o efeito reativo do calcário </w:t>
      </w:r>
      <w:proofErr w:type="spellStart"/>
      <w:r w:rsidR="0013541D">
        <w:t>dolomítico</w:t>
      </w:r>
      <w:proofErr w:type="spellEnd"/>
      <w:r w:rsidR="0013541D">
        <w:t xml:space="preserve"> e d</w:t>
      </w:r>
      <w:r w:rsidR="006916BF">
        <w:t>e du</w:t>
      </w:r>
      <w:r w:rsidR="0013541D">
        <w:t>a</w:t>
      </w:r>
      <w:r w:rsidR="006916BF">
        <w:t>s doses de</w:t>
      </w:r>
      <w:r w:rsidR="0013541D">
        <w:t xml:space="preserve"> cal virgem agrícola</w:t>
      </w:r>
      <w:r w:rsidR="006916BF">
        <w:t xml:space="preserve"> a 0,</w:t>
      </w:r>
      <w:r w:rsidR="0013541D">
        <w:t xml:space="preserve"> 20 e 40 dias após a aplicação</w:t>
      </w:r>
      <w:r w:rsidR="006916BF">
        <w:t xml:space="preserve"> em dois locais</w:t>
      </w:r>
      <w:r w:rsidR="0013541D">
        <w:t xml:space="preserve">. </w:t>
      </w:r>
      <w:r w:rsidR="006916BF">
        <w:t xml:space="preserve">O delineamento experimental em faixas em esquema fatorial 2 </w:t>
      </w:r>
      <w:proofErr w:type="gramStart"/>
      <w:r w:rsidR="006916BF">
        <w:t>x</w:t>
      </w:r>
      <w:proofErr w:type="gramEnd"/>
      <w:r w:rsidR="006916BF">
        <w:t xml:space="preserve"> 3 x 3</w:t>
      </w:r>
      <w:r w:rsidR="0013541D">
        <w:t xml:space="preserve"> com </w:t>
      </w:r>
      <w:r w:rsidR="006916BF">
        <w:t xml:space="preserve">cinco repetições. Os fatores foram dois locais, três fontes de calcário, e três datas de coleta. </w:t>
      </w:r>
      <w:r w:rsidR="0013541D">
        <w:t xml:space="preserve">Os índices de pH e saturação por bases foram avaliados. O calcário </w:t>
      </w:r>
      <w:proofErr w:type="spellStart"/>
      <w:r w:rsidR="0013541D">
        <w:t>dolomítico</w:t>
      </w:r>
      <w:proofErr w:type="spellEnd"/>
      <w:r w:rsidR="0013541D">
        <w:t xml:space="preserve"> e a cal virgem obtiveram mesma performance química, em sistema plantio direto, de elevar o pH e a saturação por bases</w:t>
      </w:r>
      <w:r w:rsidR="00DC0A28">
        <w:t xml:space="preserve"> em 20 dias</w:t>
      </w:r>
      <w:r w:rsidR="0013541D">
        <w:t xml:space="preserve">. Entretanto, na análise econômica o calcário </w:t>
      </w:r>
      <w:proofErr w:type="spellStart"/>
      <w:r w:rsidR="0013541D">
        <w:t>dolomítico</w:t>
      </w:r>
      <w:proofErr w:type="spellEnd"/>
      <w:r w:rsidR="0013541D">
        <w:t xml:space="preserve"> apresentou-se como melhor custo benefício. </w:t>
      </w:r>
    </w:p>
    <w:p w14:paraId="261AAFB0" w14:textId="77777777" w:rsidR="006916BF" w:rsidRDefault="006916BF" w:rsidP="006916BF"/>
    <w:p w14:paraId="7D4360EA" w14:textId="1086F24F" w:rsidR="0013541D" w:rsidRDefault="0013541D" w:rsidP="0013541D">
      <w:r>
        <w:t xml:space="preserve">PALAVRAS – CHAVE: </w:t>
      </w:r>
      <w:proofErr w:type="spellStart"/>
      <w:r w:rsidRPr="008B2C23">
        <w:rPr>
          <w:i/>
        </w:rPr>
        <w:t>Zea</w:t>
      </w:r>
      <w:proofErr w:type="spellEnd"/>
      <w:r w:rsidRPr="008B2C23">
        <w:rPr>
          <w:i/>
        </w:rPr>
        <w:t xml:space="preserve"> </w:t>
      </w:r>
      <w:proofErr w:type="spellStart"/>
      <w:r w:rsidRPr="008B2C23">
        <w:rPr>
          <w:i/>
        </w:rPr>
        <w:t>mays</w:t>
      </w:r>
      <w:proofErr w:type="spellEnd"/>
      <w:r>
        <w:t xml:space="preserve"> L.; cal virgem agrícola; calcário </w:t>
      </w:r>
      <w:proofErr w:type="spellStart"/>
      <w:r>
        <w:t>dolomítico</w:t>
      </w:r>
      <w:proofErr w:type="spellEnd"/>
      <w:r>
        <w:t>; acidez do solo; pH e saturação por bases.</w:t>
      </w:r>
    </w:p>
    <w:p w14:paraId="63278A0E" w14:textId="77777777" w:rsidR="0013541D" w:rsidRDefault="0013541D" w:rsidP="0013541D"/>
    <w:p w14:paraId="7A5220F6" w14:textId="77777777" w:rsidR="006916BF" w:rsidRDefault="006916BF" w:rsidP="0013541D"/>
    <w:p w14:paraId="3BC771CE" w14:textId="77777777" w:rsidR="006916BF" w:rsidRDefault="006916BF" w:rsidP="0013541D"/>
    <w:p w14:paraId="6D65D02A" w14:textId="77777777" w:rsidR="006916BF" w:rsidRDefault="006916BF" w:rsidP="0013541D"/>
    <w:p w14:paraId="75EFBD69" w14:textId="77777777" w:rsidR="006916BF" w:rsidRDefault="006916BF" w:rsidP="0013541D"/>
    <w:p w14:paraId="0942638D" w14:textId="77777777" w:rsidR="006916BF" w:rsidRDefault="006916BF" w:rsidP="0013541D"/>
    <w:p w14:paraId="52F1DC2F" w14:textId="77777777" w:rsidR="006916BF" w:rsidRDefault="006916BF" w:rsidP="0013541D"/>
    <w:p w14:paraId="2398C740" w14:textId="77777777" w:rsidR="006916BF" w:rsidRDefault="006916BF" w:rsidP="0013541D"/>
    <w:p w14:paraId="3720A35D" w14:textId="77777777" w:rsidR="006916BF" w:rsidRDefault="006916BF" w:rsidP="0013541D"/>
    <w:p w14:paraId="7A27FAB4" w14:textId="77777777" w:rsidR="006916BF" w:rsidRDefault="006916BF" w:rsidP="0013541D"/>
    <w:p w14:paraId="6AC9B603" w14:textId="77777777" w:rsidR="006916BF" w:rsidRDefault="006916BF" w:rsidP="0013541D"/>
    <w:p w14:paraId="57587D36" w14:textId="77777777" w:rsidR="006916BF" w:rsidRDefault="006916BF" w:rsidP="0013541D"/>
    <w:p w14:paraId="78C85EA6" w14:textId="77777777" w:rsidR="006916BF" w:rsidRDefault="006916BF" w:rsidP="0013541D"/>
    <w:p w14:paraId="39E404EF" w14:textId="77777777" w:rsidR="006916BF" w:rsidRDefault="006916BF" w:rsidP="0013541D"/>
    <w:p w14:paraId="7B9E1DC3" w14:textId="77777777" w:rsidR="006916BF" w:rsidRDefault="006916BF" w:rsidP="0013541D"/>
    <w:p w14:paraId="7BE8B2FA" w14:textId="77777777" w:rsidR="006916BF" w:rsidRDefault="006916BF" w:rsidP="0013541D"/>
    <w:p w14:paraId="29272BD0" w14:textId="77777777" w:rsidR="006916BF" w:rsidRDefault="006916BF" w:rsidP="0013541D"/>
    <w:p w14:paraId="4BFBABFC" w14:textId="77777777" w:rsidR="008B2C23" w:rsidRDefault="008B2C23" w:rsidP="0013541D"/>
    <w:p w14:paraId="25747445" w14:textId="77777777" w:rsidR="0056690F" w:rsidRPr="00087041" w:rsidRDefault="0056690F" w:rsidP="004F2620">
      <w:pPr>
        <w:pStyle w:val="Ttulo"/>
        <w:jc w:val="center"/>
        <w:rPr>
          <w:rFonts w:ascii="Arial" w:hAnsi="Arial" w:cs="Arial"/>
          <w:sz w:val="24"/>
          <w:szCs w:val="24"/>
          <w:lang w:val="en-US"/>
        </w:rPr>
      </w:pPr>
      <w:r w:rsidRPr="00087041">
        <w:rPr>
          <w:rFonts w:ascii="Arial" w:hAnsi="Arial" w:cs="Arial"/>
          <w:sz w:val="24"/>
          <w:szCs w:val="24"/>
          <w:lang w:val="en-US"/>
        </w:rPr>
        <w:lastRenderedPageBreak/>
        <w:t>ABSTRACT</w:t>
      </w:r>
    </w:p>
    <w:p w14:paraId="62DB9DB5" w14:textId="77777777" w:rsidR="00FB6E68" w:rsidRPr="00087041" w:rsidRDefault="00FB6E68" w:rsidP="00FB6E68">
      <w:pPr>
        <w:rPr>
          <w:lang w:val="en-US"/>
        </w:rPr>
      </w:pPr>
    </w:p>
    <w:p w14:paraId="1E3E07FD" w14:textId="77777777" w:rsidR="00FB6E68" w:rsidRPr="00087041" w:rsidRDefault="00FB6E68" w:rsidP="00FB6E68">
      <w:pPr>
        <w:rPr>
          <w:lang w:val="en-US"/>
        </w:rPr>
      </w:pPr>
    </w:p>
    <w:p w14:paraId="7F9D4491" w14:textId="527C4D0C" w:rsidR="0056690F" w:rsidRDefault="00255100" w:rsidP="00255100">
      <w:pPr>
        <w:pBdr>
          <w:bottom w:val="single" w:sz="12" w:space="1" w:color="auto"/>
        </w:pBdr>
        <w:rPr>
          <w:lang w:val="en-US"/>
        </w:rPr>
      </w:pPr>
      <w:r w:rsidRPr="00255100">
        <w:rPr>
          <w:lang w:val="en-US"/>
        </w:rPr>
        <w:t>The production of corn seed has high added value and limited planting sc</w:t>
      </w:r>
      <w:r w:rsidR="00445805">
        <w:rPr>
          <w:lang w:val="en-US"/>
        </w:rPr>
        <w:t>hedule. T</w:t>
      </w:r>
      <w:r w:rsidRPr="00255100">
        <w:rPr>
          <w:lang w:val="en-US"/>
        </w:rPr>
        <w:t>he soil acidity must be corrected in a short time in the areas contracted temporarily to ensure the expected productivity. This work aimed to evaluate the reactive effect of dolomitic limestone and two d</w:t>
      </w:r>
      <w:r w:rsidR="00445805">
        <w:rPr>
          <w:lang w:val="en-US"/>
        </w:rPr>
        <w:t>oses of calcium oxide</w:t>
      </w:r>
      <w:r w:rsidRPr="00255100">
        <w:rPr>
          <w:lang w:val="en-US"/>
        </w:rPr>
        <w:t xml:space="preserve"> at 0, 20 and 40 days after application in two locations. The experimental design in bands in a 2 x 3 x 3 factorial scheme with five replications. The factors were two sites, three limestone sources, and three collection dates. The pH and base saturation indexes were evaluated. The dolomit</w:t>
      </w:r>
      <w:r w:rsidR="00DC0A28">
        <w:rPr>
          <w:lang w:val="en-US"/>
        </w:rPr>
        <w:t>ic limestone and the calcium oxide</w:t>
      </w:r>
      <w:r w:rsidRPr="00255100">
        <w:rPr>
          <w:lang w:val="en-US"/>
        </w:rPr>
        <w:t xml:space="preserve"> obtained the same chemical performance, in a no - tillage system, to raise the pH and the saturation by bases</w:t>
      </w:r>
      <w:r w:rsidR="00DC0A28">
        <w:rPr>
          <w:lang w:val="en-US"/>
        </w:rPr>
        <w:t xml:space="preserve"> in 20 days</w:t>
      </w:r>
      <w:r w:rsidRPr="00255100">
        <w:rPr>
          <w:lang w:val="en-US"/>
        </w:rPr>
        <w:t>. However, in the economic analysis the dolomitic limestone was presented as the best cost benefit.</w:t>
      </w:r>
    </w:p>
    <w:p w14:paraId="1D716438" w14:textId="77777777" w:rsidR="00255100" w:rsidRDefault="00255100" w:rsidP="00255100">
      <w:pPr>
        <w:rPr>
          <w:lang w:val="en-US"/>
        </w:rPr>
      </w:pPr>
    </w:p>
    <w:p w14:paraId="03ED2B09" w14:textId="0ECB3CB1" w:rsidR="00255100" w:rsidRPr="00255100" w:rsidRDefault="00255100" w:rsidP="00255100">
      <w:pPr>
        <w:rPr>
          <w:lang w:val="en-US"/>
        </w:rPr>
      </w:pPr>
      <w:r>
        <w:rPr>
          <w:lang w:val="en-US"/>
        </w:rPr>
        <w:t xml:space="preserve">Key words: </w:t>
      </w:r>
      <w:proofErr w:type="spellStart"/>
      <w:r w:rsidRPr="008B2C23">
        <w:rPr>
          <w:i/>
          <w:lang w:val="en-US"/>
        </w:rPr>
        <w:t>Zea</w:t>
      </w:r>
      <w:proofErr w:type="spellEnd"/>
      <w:r w:rsidRPr="008B2C23">
        <w:rPr>
          <w:i/>
          <w:lang w:val="en-US"/>
        </w:rPr>
        <w:t xml:space="preserve"> mays</w:t>
      </w:r>
      <w:r>
        <w:rPr>
          <w:lang w:val="en-US"/>
        </w:rPr>
        <w:t xml:space="preserve"> L</w:t>
      </w:r>
      <w:r w:rsidR="00445805">
        <w:rPr>
          <w:lang w:val="en-US"/>
        </w:rPr>
        <w:t>.; Calcium oxide; D</w:t>
      </w:r>
      <w:r w:rsidRPr="00255100">
        <w:rPr>
          <w:lang w:val="en-US"/>
        </w:rPr>
        <w:t>olo</w:t>
      </w:r>
      <w:r>
        <w:rPr>
          <w:lang w:val="en-US"/>
        </w:rPr>
        <w:t>mitic limestone; Soil acidity; p</w:t>
      </w:r>
      <w:r w:rsidRPr="00255100">
        <w:rPr>
          <w:lang w:val="en-US"/>
        </w:rPr>
        <w:t>H and base saturation.</w:t>
      </w:r>
    </w:p>
    <w:p w14:paraId="4F5C7625" w14:textId="77777777" w:rsidR="0056690F" w:rsidRPr="00255100" w:rsidRDefault="0056690F" w:rsidP="00255100">
      <w:pPr>
        <w:rPr>
          <w:lang w:val="en-US"/>
        </w:rPr>
      </w:pPr>
      <w:r w:rsidRPr="00255100">
        <w:rPr>
          <w:lang w:val="en-US"/>
        </w:rP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4"/>
          <w:szCs w:val="24"/>
          <w:lang w:eastAsia="en-US"/>
        </w:rPr>
        <w:id w:val="-17487980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2D52DE" w14:textId="77777777" w:rsidR="0056690F" w:rsidRDefault="0056690F" w:rsidP="0056690F">
          <w:pPr>
            <w:pStyle w:val="CabealhodoSumrio"/>
          </w:pPr>
          <w:r>
            <w:t>Sumário</w:t>
          </w:r>
        </w:p>
        <w:p w14:paraId="753B9EDE" w14:textId="77777777" w:rsidR="00A86EDF" w:rsidRDefault="0056690F">
          <w:pPr>
            <w:pStyle w:val="Sumrio1"/>
            <w:tabs>
              <w:tab w:val="left" w:pos="48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487108315" w:history="1">
            <w:r w:rsidR="00A86EDF" w:rsidRPr="00A47BBA">
              <w:rPr>
                <w:rStyle w:val="Hiperlink"/>
                <w:noProof/>
              </w:rPr>
              <w:t>1)</w:t>
            </w:r>
            <w:r w:rsidR="00A86EDF">
              <w:rPr>
                <w:rFonts w:asciiTheme="minorHAnsi" w:eastAsiaTheme="minorEastAsia" w:hAnsiTheme="minorHAnsi"/>
                <w:b w:val="0"/>
                <w:bCs w:val="0"/>
                <w:noProof/>
                <w:lang w:eastAsia="pt-BR"/>
              </w:rPr>
              <w:tab/>
            </w:r>
            <w:r w:rsidR="00A86EDF" w:rsidRPr="00A47BBA">
              <w:rPr>
                <w:rStyle w:val="Hiperlink"/>
                <w:noProof/>
              </w:rPr>
              <w:t>INTRODUÇÃO</w:t>
            </w:r>
            <w:r w:rsidR="00A86EDF">
              <w:rPr>
                <w:noProof/>
                <w:webHidden/>
              </w:rPr>
              <w:tab/>
            </w:r>
            <w:r w:rsidR="00A86EDF">
              <w:rPr>
                <w:noProof/>
                <w:webHidden/>
              </w:rPr>
              <w:fldChar w:fldCharType="begin"/>
            </w:r>
            <w:r w:rsidR="00A86EDF">
              <w:rPr>
                <w:noProof/>
                <w:webHidden/>
              </w:rPr>
              <w:instrText xml:space="preserve"> PAGEREF _Toc487108315 \h </w:instrText>
            </w:r>
            <w:r w:rsidR="00A86EDF">
              <w:rPr>
                <w:noProof/>
                <w:webHidden/>
              </w:rPr>
            </w:r>
            <w:r w:rsidR="00A86EDF">
              <w:rPr>
                <w:noProof/>
                <w:webHidden/>
              </w:rPr>
              <w:fldChar w:fldCharType="separate"/>
            </w:r>
            <w:r w:rsidR="00A86EDF">
              <w:rPr>
                <w:noProof/>
                <w:webHidden/>
              </w:rPr>
              <w:t>7</w:t>
            </w:r>
            <w:r w:rsidR="00A86EDF">
              <w:rPr>
                <w:noProof/>
                <w:webHidden/>
              </w:rPr>
              <w:fldChar w:fldCharType="end"/>
            </w:r>
          </w:hyperlink>
        </w:p>
        <w:p w14:paraId="0B4AB20C" w14:textId="77777777" w:rsidR="00A86EDF" w:rsidRDefault="00A86EDF">
          <w:pPr>
            <w:pStyle w:val="Sumrio1"/>
            <w:tabs>
              <w:tab w:val="left" w:pos="48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16" w:history="1">
            <w:r w:rsidRPr="00A47BBA">
              <w:rPr>
                <w:rStyle w:val="Hiperlink"/>
                <w:noProof/>
              </w:rPr>
              <w:t>2)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pt-BR"/>
              </w:rPr>
              <w:tab/>
            </w:r>
            <w:r w:rsidRPr="00A47BBA">
              <w:rPr>
                <w:rStyle w:val="Hi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D3287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17" w:history="1">
            <w:r w:rsidRPr="00A47BBA">
              <w:rPr>
                <w:rStyle w:val="Hiperlink"/>
                <w:noProof/>
              </w:rPr>
              <w:t>2.1)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83969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18" w:history="1">
            <w:r w:rsidRPr="00A47BBA">
              <w:rPr>
                <w:rStyle w:val="Hiperlink"/>
                <w:noProof/>
              </w:rPr>
              <w:t>2.2)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F5F38" w14:textId="77777777" w:rsidR="00A86EDF" w:rsidRDefault="00A86EDF">
          <w:pPr>
            <w:pStyle w:val="Sumrio1"/>
            <w:tabs>
              <w:tab w:val="left" w:pos="48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19" w:history="1">
            <w:r w:rsidRPr="00A47BBA">
              <w:rPr>
                <w:rStyle w:val="Hiperlink"/>
                <w:noProof/>
              </w:rPr>
              <w:t>3)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pt-BR"/>
              </w:rPr>
              <w:tab/>
            </w:r>
            <w:r w:rsidRPr="00A47BBA">
              <w:rPr>
                <w:rStyle w:val="Hiperlink"/>
                <w:noProof/>
              </w:rPr>
              <w:t>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4944E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20" w:history="1">
            <w:r w:rsidRPr="00A47BBA">
              <w:rPr>
                <w:rStyle w:val="Hiperlink"/>
                <w:noProof/>
              </w:rPr>
              <w:t>3.1) Caracterização da área experimental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A2736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21" w:history="1">
            <w:r w:rsidRPr="00A47BBA">
              <w:rPr>
                <w:rStyle w:val="Hiperlink"/>
                <w:noProof/>
              </w:rPr>
              <w:t>3.2) Coleta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F2944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22" w:history="1">
            <w:r w:rsidRPr="00A47BBA">
              <w:rPr>
                <w:rStyle w:val="Hiperlink"/>
                <w:noProof/>
              </w:rPr>
              <w:t>3.2.1) Amostra de solo inicial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F1010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23" w:history="1">
            <w:r w:rsidRPr="00A47BBA">
              <w:rPr>
                <w:rStyle w:val="Hiperlink"/>
                <w:noProof/>
              </w:rPr>
              <w:t>Figura 1. Método de coleta de solo utilizada.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8010A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24" w:history="1">
            <w:r w:rsidRPr="00A47BBA">
              <w:rPr>
                <w:rStyle w:val="Hiperlink"/>
                <w:noProof/>
              </w:rPr>
              <w:t>Tabela 1. Resultado da análise do solo coletada nos dois locais do experimento.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CC490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25" w:history="1">
            <w:r w:rsidRPr="00A47BBA">
              <w:rPr>
                <w:rStyle w:val="Hiperlink"/>
                <w:noProof/>
              </w:rPr>
              <w:t>3.3) Preparo e implementação do experimento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D7950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26" w:history="1">
            <w:r w:rsidRPr="00A47BBA">
              <w:rPr>
                <w:rStyle w:val="Hiperlink"/>
                <w:noProof/>
              </w:rPr>
              <w:t>Tabela 2. Caracterização das fontes de calcário utilizadas.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3EA53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27" w:history="1">
            <w:r w:rsidRPr="00A47BBA">
              <w:rPr>
                <w:rStyle w:val="Hiperlink"/>
                <w:noProof/>
              </w:rPr>
              <w:t>Figura 2. Esquema do delineamento experimental.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13A29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28" w:history="1">
            <w:r w:rsidRPr="00A47BBA">
              <w:rPr>
                <w:rStyle w:val="Hiperlink"/>
                <w:noProof/>
              </w:rPr>
              <w:t>3.4) Condução do experimento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0FFB9" w14:textId="77777777" w:rsidR="00A86EDF" w:rsidRDefault="00A86EDF">
          <w:pPr>
            <w:pStyle w:val="Sumrio1"/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29" w:history="1">
            <w:r w:rsidRPr="00A47BBA">
              <w:rPr>
                <w:rStyle w:val="Hiperlink"/>
                <w:noProof/>
              </w:rPr>
              <w:t>3.5) Análise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F4B54" w14:textId="77777777" w:rsidR="00A86EDF" w:rsidRDefault="00A86EDF">
          <w:pPr>
            <w:pStyle w:val="Sumrio1"/>
            <w:tabs>
              <w:tab w:val="left" w:pos="48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30" w:history="1">
            <w:r w:rsidRPr="00A47BBA">
              <w:rPr>
                <w:rStyle w:val="Hiperlink"/>
                <w:noProof/>
              </w:rPr>
              <w:t>4)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pt-BR"/>
              </w:rPr>
              <w:tab/>
            </w:r>
            <w:r w:rsidRPr="00A47BBA">
              <w:rPr>
                <w:rStyle w:val="Hiperlink"/>
                <w:noProof/>
              </w:rPr>
              <w:t>RESULTADOS E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9974D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31" w:history="1">
            <w:r w:rsidRPr="00A47BBA">
              <w:rPr>
                <w:rStyle w:val="Hiperlink"/>
                <w:noProof/>
              </w:rPr>
              <w:t>Tabela 3. ANOVA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E513E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32" w:history="1">
            <w:r w:rsidRPr="00A47BBA">
              <w:rPr>
                <w:rStyle w:val="Hiperlink"/>
                <w:noProof/>
              </w:rPr>
              <w:t>Figura 3. Efeito da calagem sobre os tratamentos.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FA36C" w14:textId="77777777" w:rsidR="00A86EDF" w:rsidRDefault="00A86EDF">
          <w:pPr>
            <w:pStyle w:val="Sumrio2"/>
            <w:tabs>
              <w:tab w:val="right" w:leader="dot" w:pos="9055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eastAsia="pt-BR"/>
            </w:rPr>
          </w:pPr>
          <w:hyperlink w:anchor="_Toc487108333" w:history="1">
            <w:r w:rsidRPr="00A47BBA">
              <w:rPr>
                <w:rStyle w:val="Hiperlink"/>
                <w:noProof/>
              </w:rPr>
              <w:t>Tabela 4. Índices das maiores produtividades da safra 2016/17.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D2F4A" w14:textId="77777777" w:rsidR="00A86EDF" w:rsidRDefault="00A86EDF">
          <w:pPr>
            <w:pStyle w:val="Sumrio1"/>
            <w:tabs>
              <w:tab w:val="left" w:pos="48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34" w:history="1">
            <w:r w:rsidRPr="00A47BBA">
              <w:rPr>
                <w:rStyle w:val="Hiperlink"/>
                <w:noProof/>
              </w:rPr>
              <w:t>5)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pt-BR"/>
              </w:rPr>
              <w:tab/>
            </w:r>
            <w:r w:rsidRPr="00A47BBA">
              <w:rPr>
                <w:rStyle w:val="Hiperlink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C078C" w14:textId="77777777" w:rsidR="00A86EDF" w:rsidRDefault="00A86EDF">
          <w:pPr>
            <w:pStyle w:val="Sumrio1"/>
            <w:tabs>
              <w:tab w:val="left" w:pos="48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pt-BR"/>
            </w:rPr>
          </w:pPr>
          <w:hyperlink w:anchor="_Toc487108335" w:history="1">
            <w:r w:rsidRPr="00A47BBA">
              <w:rPr>
                <w:rStyle w:val="Hiperlink"/>
                <w:noProof/>
              </w:rPr>
              <w:t>6)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pt-BR"/>
              </w:rPr>
              <w:tab/>
            </w:r>
            <w:r w:rsidRPr="00A47BBA">
              <w:rPr>
                <w:rStyle w:val="Hi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_Toc487108335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B9CBD" w14:textId="77777777" w:rsidR="0056690F" w:rsidRDefault="0056690F">
          <w:r>
            <w:rPr>
              <w:b/>
              <w:bCs/>
              <w:noProof/>
            </w:rPr>
            <w:fldChar w:fldCharType="end"/>
          </w:r>
        </w:p>
      </w:sdtContent>
    </w:sdt>
    <w:p w14:paraId="5388D367" w14:textId="77777777" w:rsidR="0056690F" w:rsidRDefault="0056690F">
      <w:pPr>
        <w:pStyle w:val="Sumrio3"/>
        <w:rPr>
          <w:i/>
        </w:rPr>
      </w:pPr>
    </w:p>
    <w:p w14:paraId="432300F7" w14:textId="77777777" w:rsidR="0056690F" w:rsidRDefault="0056690F" w:rsidP="0056690F">
      <w:pPr>
        <w:sectPr w:rsidR="0056690F" w:rsidSect="00B358D2">
          <w:footerReference w:type="even" r:id="rId8"/>
          <w:footerReference w:type="default" r:id="rId9"/>
          <w:pgSz w:w="11900" w:h="16840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0E8E8CF" w14:textId="77777777" w:rsidR="00DA3B45" w:rsidRDefault="0056690F" w:rsidP="00DA3B45">
      <w:pPr>
        <w:pStyle w:val="Ttulo1"/>
        <w:numPr>
          <w:ilvl w:val="0"/>
          <w:numId w:val="2"/>
        </w:numPr>
      </w:pPr>
      <w:bookmarkStart w:id="0" w:name="_Toc487108315"/>
      <w:r w:rsidRPr="0056690F">
        <w:lastRenderedPageBreak/>
        <w:t>INTRODUÇÃO</w:t>
      </w:r>
      <w:bookmarkEnd w:id="0"/>
    </w:p>
    <w:p w14:paraId="7238284F" w14:textId="77777777" w:rsidR="00DA3B45" w:rsidRPr="00DA3B45" w:rsidRDefault="00DA3B45" w:rsidP="00DA3B45"/>
    <w:p w14:paraId="6F6F5A1B" w14:textId="77777777" w:rsidR="0056690F" w:rsidRPr="0056690F" w:rsidRDefault="0056690F" w:rsidP="00DA3B45"/>
    <w:p w14:paraId="1DE09DF2" w14:textId="559CBC7E" w:rsidR="00737BF6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>O milho (</w:t>
      </w:r>
      <w:proofErr w:type="spellStart"/>
      <w:r w:rsidRPr="005F1AA9">
        <w:rPr>
          <w:rFonts w:eastAsia="Times New Roman"/>
          <w:i/>
        </w:rPr>
        <w:t>Zea</w:t>
      </w:r>
      <w:proofErr w:type="spellEnd"/>
      <w:r w:rsidRPr="005F1AA9">
        <w:rPr>
          <w:rFonts w:eastAsia="Times New Roman"/>
          <w:i/>
        </w:rPr>
        <w:t xml:space="preserve"> </w:t>
      </w:r>
      <w:proofErr w:type="spellStart"/>
      <w:r w:rsidRPr="005F1AA9">
        <w:rPr>
          <w:rFonts w:eastAsia="Times New Roman"/>
          <w:i/>
        </w:rPr>
        <w:t>mays</w:t>
      </w:r>
      <w:proofErr w:type="spellEnd"/>
      <w:r w:rsidRPr="005F1AA9">
        <w:rPr>
          <w:rFonts w:eastAsia="Times New Roman"/>
          <w:i/>
        </w:rPr>
        <w:t xml:space="preserve"> </w:t>
      </w:r>
      <w:r w:rsidRPr="002A170F">
        <w:rPr>
          <w:rFonts w:eastAsia="Times New Roman"/>
        </w:rPr>
        <w:t>L.)</w:t>
      </w:r>
      <w:r>
        <w:rPr>
          <w:rFonts w:eastAsia="Times New Roman"/>
        </w:rPr>
        <w:t xml:space="preserve"> é um alimento energético usado na alimentação humana, animal ou como biocombustível (</w:t>
      </w:r>
      <w:r w:rsidRPr="009420E5">
        <w:rPr>
          <w:rFonts w:eastAsia="Times New Roman"/>
        </w:rPr>
        <w:t>FANCELI e DOURADO NETO, 2008)</w:t>
      </w:r>
      <w:r>
        <w:rPr>
          <w:rFonts w:eastAsia="Times New Roman"/>
        </w:rPr>
        <w:t>, portanto sua relevância é incontestável no cenário agrícola. De acordo com a CONAB (2017</w:t>
      </w:r>
      <w:r w:rsidRPr="00B76489">
        <w:rPr>
          <w:rFonts w:eastAsia="Times New Roman"/>
        </w:rPr>
        <w:t xml:space="preserve">), a </w:t>
      </w:r>
      <w:proofErr w:type="spellStart"/>
      <w:r w:rsidRPr="00B76489">
        <w:rPr>
          <w:rFonts w:eastAsia="Times New Roman"/>
        </w:rPr>
        <w:t>produção</w:t>
      </w:r>
      <w:proofErr w:type="spellEnd"/>
      <w:r w:rsidRPr="00B76489">
        <w:rPr>
          <w:rFonts w:eastAsia="Times New Roman"/>
        </w:rPr>
        <w:t xml:space="preserve"> b</w:t>
      </w:r>
      <w:r>
        <w:rPr>
          <w:rFonts w:eastAsia="Times New Roman"/>
        </w:rPr>
        <w:t xml:space="preserve">rasileira de milho na safra 2016/17 </w:t>
      </w:r>
      <w:r w:rsidR="00746942">
        <w:rPr>
          <w:rFonts w:eastAsia="Times New Roman"/>
        </w:rPr>
        <w:t xml:space="preserve">foram produzidas </w:t>
      </w:r>
      <w:r>
        <w:rPr>
          <w:rFonts w:eastAsia="Times New Roman"/>
        </w:rPr>
        <w:t>93.835,6</w:t>
      </w:r>
      <w:r w:rsidRPr="0051088C">
        <w:rPr>
          <w:rFonts w:eastAsia="Times New Roman"/>
        </w:rPr>
        <w:t xml:space="preserve"> mil </w:t>
      </w:r>
      <w:r w:rsidR="00746942">
        <w:rPr>
          <w:rFonts w:eastAsia="Times New Roman"/>
        </w:rPr>
        <w:t>toneladas</w:t>
      </w:r>
      <w:r w:rsidR="002A170F">
        <w:rPr>
          <w:rFonts w:eastAsia="Times New Roman"/>
        </w:rPr>
        <w:t xml:space="preserve">, com </w:t>
      </w:r>
      <w:proofErr w:type="spellStart"/>
      <w:r w:rsidR="002A170F">
        <w:rPr>
          <w:rFonts w:eastAsia="Times New Roman"/>
        </w:rPr>
        <w:t>variação</w:t>
      </w:r>
      <w:proofErr w:type="spellEnd"/>
      <w:r w:rsidR="002A170F">
        <w:rPr>
          <w:rFonts w:eastAsia="Times New Roman"/>
        </w:rPr>
        <w:t xml:space="preserve"> </w:t>
      </w:r>
      <w:r w:rsidRPr="002D22D4">
        <w:rPr>
          <w:rFonts w:eastAsia="Times New Roman"/>
        </w:rPr>
        <w:t xml:space="preserve">de </w:t>
      </w:r>
      <w:r w:rsidRPr="0051088C">
        <w:rPr>
          <w:rFonts w:eastAsia="Times New Roman"/>
        </w:rPr>
        <w:t>41</w:t>
      </w:r>
      <w:r w:rsidRPr="002D22D4">
        <w:rPr>
          <w:rFonts w:eastAsia="Times New Roman"/>
        </w:rPr>
        <w:t xml:space="preserve">% em </w:t>
      </w:r>
      <w:proofErr w:type="spellStart"/>
      <w:r w:rsidRPr="002D22D4">
        <w:rPr>
          <w:rFonts w:eastAsia="Times New Roman"/>
        </w:rPr>
        <w:t>relação</w:t>
      </w:r>
      <w:proofErr w:type="spellEnd"/>
      <w:r w:rsidRPr="002D22D4">
        <w:rPr>
          <w:rFonts w:eastAsia="Times New Roman"/>
        </w:rPr>
        <w:t xml:space="preserve"> à safra </w:t>
      </w:r>
      <w:r w:rsidRPr="0051088C">
        <w:rPr>
          <w:rFonts w:eastAsia="Times New Roman"/>
        </w:rPr>
        <w:t xml:space="preserve">passada. Entretanto, a média produtiva brasileira persiste em patamares inferiores quando comparada a outros países como EUA, </w:t>
      </w:r>
      <w:r w:rsidR="00746942">
        <w:rPr>
          <w:rFonts w:eastAsia="Times New Roman"/>
        </w:rPr>
        <w:t xml:space="preserve">cujas estimativas giram em torno da produção de </w:t>
      </w:r>
      <w:r w:rsidR="002A170F">
        <w:rPr>
          <w:rFonts w:eastAsia="Times New Roman"/>
        </w:rPr>
        <w:t>357.</w:t>
      </w:r>
      <w:r w:rsidRPr="0051088C">
        <w:rPr>
          <w:rFonts w:eastAsia="Times New Roman"/>
        </w:rPr>
        <w:t xml:space="preserve">37 mil </w:t>
      </w:r>
      <w:r w:rsidRPr="002D22D4">
        <w:rPr>
          <w:rFonts w:eastAsia="Times New Roman"/>
        </w:rPr>
        <w:t>toneladas</w:t>
      </w:r>
      <w:r w:rsidRPr="0051088C">
        <w:rPr>
          <w:rFonts w:eastAsia="Times New Roman"/>
        </w:rPr>
        <w:t xml:space="preserve"> durante a safra </w:t>
      </w:r>
      <w:r>
        <w:rPr>
          <w:rFonts w:eastAsia="Times New Roman"/>
        </w:rPr>
        <w:t>2017/18</w:t>
      </w:r>
      <w:r w:rsidRPr="002D22D4">
        <w:rPr>
          <w:rFonts w:eastAsia="Times New Roman"/>
        </w:rPr>
        <w:t xml:space="preserve"> (USDA, 2017)</w:t>
      </w:r>
      <w:r>
        <w:rPr>
          <w:rFonts w:eastAsia="Times New Roman"/>
        </w:rPr>
        <w:t xml:space="preserve">. </w:t>
      </w:r>
      <w:r w:rsidR="00746942">
        <w:rPr>
          <w:rFonts w:eastAsia="Times New Roman"/>
        </w:rPr>
        <w:t>A produção brasileira, voltada na obtenção de melhores resultados de produção,</w:t>
      </w:r>
      <w:r w:rsidR="002A170F">
        <w:rPr>
          <w:rFonts w:eastAsia="Times New Roman"/>
        </w:rPr>
        <w:t xml:space="preserve"> busca</w:t>
      </w:r>
      <w:r>
        <w:rPr>
          <w:rFonts w:eastAsia="Times New Roman"/>
        </w:rPr>
        <w:t xml:space="preserve"> novas tecnologias aptas a reduzir p</w:t>
      </w:r>
      <w:r w:rsidR="00746942">
        <w:rPr>
          <w:rFonts w:eastAsia="Times New Roman"/>
        </w:rPr>
        <w:t>roblemas relacionados a doenças,</w:t>
      </w:r>
      <w:r>
        <w:rPr>
          <w:rFonts w:eastAsia="Times New Roman"/>
        </w:rPr>
        <w:t xml:space="preserve"> pragas, deficiências nu</w:t>
      </w:r>
      <w:r w:rsidR="00746942">
        <w:rPr>
          <w:rFonts w:eastAsia="Times New Roman"/>
        </w:rPr>
        <w:t>tricionais e fatores climáticos, j</w:t>
      </w:r>
      <w:r>
        <w:rPr>
          <w:rFonts w:eastAsia="Times New Roman"/>
        </w:rPr>
        <w:t xml:space="preserve">untamente com o uso de sementes de alta qualidade. </w:t>
      </w:r>
    </w:p>
    <w:p w14:paraId="4D180230" w14:textId="1F3F0BF7" w:rsidR="00737BF6" w:rsidRDefault="00737BF6" w:rsidP="00737BF6">
      <w:pPr>
        <w:ind w:firstLine="567"/>
        <w:rPr>
          <w:rFonts w:eastAsia="Times New Roman"/>
        </w:rPr>
      </w:pPr>
      <w:r w:rsidRPr="001D6CA2">
        <w:rPr>
          <w:rFonts w:eastAsia="Times New Roman"/>
        </w:rPr>
        <w:t xml:space="preserve">A produção de sementes de milho é um processo </w:t>
      </w:r>
      <w:r>
        <w:rPr>
          <w:rFonts w:eastAsia="Times New Roman"/>
        </w:rPr>
        <w:t xml:space="preserve">com alto valor agregado </w:t>
      </w:r>
      <w:r w:rsidRPr="001D6CA2">
        <w:rPr>
          <w:rFonts w:eastAsia="Times New Roman"/>
        </w:rPr>
        <w:t>que requer inúmeros cuidados na sua execução. A acidez do solo é um dos fatores mais limitantes à produtividade das culturas</w:t>
      </w:r>
      <w:r w:rsidR="00A258C6">
        <w:rPr>
          <w:rFonts w:eastAsia="Times New Roman"/>
        </w:rPr>
        <w:t>. P</w:t>
      </w:r>
      <w:r>
        <w:rPr>
          <w:rFonts w:eastAsia="Times New Roman"/>
        </w:rPr>
        <w:t xml:space="preserve">orque </w:t>
      </w:r>
      <w:r w:rsidR="00A258C6">
        <w:rPr>
          <w:rFonts w:eastAsia="Times New Roman"/>
        </w:rPr>
        <w:t>a acidez do solo</w:t>
      </w:r>
      <w:r>
        <w:rPr>
          <w:rFonts w:eastAsia="Times New Roman"/>
        </w:rPr>
        <w:t xml:space="preserve"> dificulta a disponibilidade de vários dos nutrientes e deixa a maioria inapta à absorção pelas plantas, principalmente o fósforo e o nitrogênio</w:t>
      </w:r>
      <w:r w:rsidR="00A258C6">
        <w:rPr>
          <w:rFonts w:eastAsia="Times New Roman"/>
        </w:rPr>
        <w:t xml:space="preserve"> (MELLO et al</w:t>
      </w:r>
      <w:r w:rsidR="00746942">
        <w:rPr>
          <w:rFonts w:eastAsia="Times New Roman"/>
        </w:rPr>
        <w:t>., 1983).  Tal</w:t>
      </w:r>
      <w:r>
        <w:rPr>
          <w:rFonts w:eastAsia="Times New Roman"/>
        </w:rPr>
        <w:t xml:space="preserve"> acidez ativa remete aos íons de hidrogênio (H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</w:t>
      </w:r>
      <w:r>
        <w:rPr>
          <w:rFonts w:eastAsia="Times New Roman"/>
        </w:rPr>
        <w:t>) presentes na solução do solo e é determinada pelo índice pH (SILVA, 2013). A caracterização de um solo ácido também é dada pelo parâmetro de saturação por bases (V</w:t>
      </w:r>
      <w:proofErr w:type="gramStart"/>
      <w:r>
        <w:rPr>
          <w:rFonts w:eastAsia="Times New Roman"/>
        </w:rPr>
        <w:t xml:space="preserve">%) </w:t>
      </w:r>
      <w:r w:rsidR="00A258C6">
        <w:rPr>
          <w:rFonts w:eastAsia="Times New Roman"/>
        </w:rPr>
        <w:t>,</w:t>
      </w:r>
      <w:r>
        <w:rPr>
          <w:rFonts w:eastAsia="Times New Roman"/>
        </w:rPr>
        <w:t>abaixo</w:t>
      </w:r>
      <w:proofErr w:type="gramEnd"/>
      <w:r>
        <w:rPr>
          <w:rFonts w:eastAsia="Times New Roman"/>
        </w:rPr>
        <w:t xml:space="preserve"> de 50%</w:t>
      </w:r>
      <w:r w:rsidR="00A258C6">
        <w:rPr>
          <w:rFonts w:eastAsia="Times New Roman"/>
        </w:rPr>
        <w:t>,</w:t>
      </w:r>
      <w:r>
        <w:rPr>
          <w:rFonts w:eastAsia="Times New Roman"/>
        </w:rPr>
        <w:t xml:space="preserve"> demonstrando que no solo ocorre baixos teores de cátions como cálcio (</w:t>
      </w:r>
      <w:r w:rsidRPr="001D6CA2">
        <w:rPr>
          <w:rFonts w:eastAsia="Times New Roman"/>
        </w:rPr>
        <w:t>Ca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+2</w:t>
      </w:r>
      <w:r>
        <w:rPr>
          <w:rFonts w:eastAsia="Times New Roman"/>
        </w:rPr>
        <w:t>), magnésio</w:t>
      </w:r>
      <w:r w:rsidRPr="001D6CA2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1D6CA2">
        <w:rPr>
          <w:rFonts w:eastAsia="Times New Roman"/>
        </w:rPr>
        <w:t>Mg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+2</w:t>
      </w:r>
      <w:r>
        <w:rPr>
          <w:rFonts w:eastAsia="Times New Roman"/>
        </w:rPr>
        <w:t>) e altos teores de H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 xml:space="preserve"> </w:t>
      </w:r>
      <w:r>
        <w:rPr>
          <w:rFonts w:eastAsia="Times New Roman"/>
        </w:rPr>
        <w:t>e alumínio (Al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>3</w:t>
      </w:r>
      <w:r>
        <w:rPr>
          <w:rFonts w:eastAsia="Times New Roman"/>
        </w:rPr>
        <w:t>)</w:t>
      </w:r>
      <w:r w:rsidRPr="00023F6A">
        <w:t xml:space="preserve"> </w:t>
      </w:r>
      <w:r>
        <w:t>(</w:t>
      </w:r>
      <w:r w:rsidR="00746942">
        <w:rPr>
          <w:rFonts w:eastAsia="Times New Roman"/>
        </w:rPr>
        <w:t>MELLO</w:t>
      </w:r>
      <w:r w:rsidR="00A258C6">
        <w:rPr>
          <w:rFonts w:eastAsia="Times New Roman"/>
        </w:rPr>
        <w:t xml:space="preserve"> et al.</w:t>
      </w:r>
      <w:r w:rsidR="00746942">
        <w:rPr>
          <w:rFonts w:eastAsia="Times New Roman"/>
        </w:rPr>
        <w:t>, 1983 e</w:t>
      </w:r>
      <w:r w:rsidRPr="00023F6A">
        <w:rPr>
          <w:rFonts w:eastAsia="Times New Roman"/>
        </w:rPr>
        <w:t xml:space="preserve"> RONQUIM, 2010).</w:t>
      </w:r>
      <w:r>
        <w:rPr>
          <w:rFonts w:eastAsia="Times New Roman"/>
        </w:rPr>
        <w:t xml:space="preserve"> O Al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 xml:space="preserve">3 </w:t>
      </w:r>
      <w:r>
        <w:rPr>
          <w:rFonts w:eastAsia="Times New Roman"/>
        </w:rPr>
        <w:t xml:space="preserve">é tóxico às plantas e o baixo teor de </w:t>
      </w:r>
      <w:r w:rsidRPr="001D6CA2">
        <w:rPr>
          <w:rFonts w:eastAsia="Times New Roman"/>
        </w:rPr>
        <w:t>Ca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+2</w:t>
      </w:r>
      <w:r>
        <w:rPr>
          <w:rFonts w:eastAsia="Times New Roman"/>
        </w:rPr>
        <w:t xml:space="preserve"> no solo proporciona redução no crescimento das raízes </w:t>
      </w:r>
      <w:r w:rsidRPr="000542E2">
        <w:rPr>
          <w:rFonts w:eastAsia="Times New Roman"/>
        </w:rPr>
        <w:t>(MONTEZANO, 2009)</w:t>
      </w:r>
      <w:r>
        <w:rPr>
          <w:rFonts w:eastAsia="Times New Roman"/>
        </w:rPr>
        <w:t xml:space="preserve">. </w:t>
      </w:r>
    </w:p>
    <w:p w14:paraId="2D18CAE6" w14:textId="6E8255F3" w:rsidR="00737BF6" w:rsidRPr="000542E2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 O processo da c</w:t>
      </w:r>
      <w:r w:rsidRPr="001D6CA2">
        <w:rPr>
          <w:rFonts w:eastAsia="Times New Roman"/>
        </w:rPr>
        <w:t xml:space="preserve">alagem </w:t>
      </w:r>
      <w:r>
        <w:rPr>
          <w:rFonts w:eastAsia="Times New Roman"/>
        </w:rPr>
        <w:t>é amplamente conhecido para a correção da acidez do solo (PÁDUA</w:t>
      </w:r>
      <w:r w:rsidRPr="009855F5">
        <w:rPr>
          <w:rFonts w:eastAsia="Times New Roman"/>
        </w:rPr>
        <w:t xml:space="preserve"> et al., 2008)</w:t>
      </w:r>
      <w:r>
        <w:rPr>
          <w:rFonts w:eastAsia="Times New Roman"/>
        </w:rPr>
        <w:t xml:space="preserve">, pois </w:t>
      </w:r>
      <w:r w:rsidRPr="001D6CA2">
        <w:rPr>
          <w:rFonts w:eastAsia="Times New Roman"/>
        </w:rPr>
        <w:t xml:space="preserve">proporciona a elevação </w:t>
      </w:r>
      <w:r>
        <w:rPr>
          <w:rFonts w:eastAsia="Times New Roman"/>
        </w:rPr>
        <w:t>do pH, aumento da saturação por bases (SORATTO &amp; CRUSCIOL, 2008)</w:t>
      </w:r>
      <w:r w:rsidRPr="001D6CA2">
        <w:rPr>
          <w:rFonts w:eastAsia="Times New Roman"/>
        </w:rPr>
        <w:t>, neutraliza</w:t>
      </w:r>
      <w:r>
        <w:rPr>
          <w:rFonts w:eastAsia="Times New Roman"/>
        </w:rPr>
        <w:t xml:space="preserve"> parte</w:t>
      </w:r>
      <w:r w:rsidRPr="001D6CA2">
        <w:rPr>
          <w:rFonts w:eastAsia="Times New Roman"/>
        </w:rPr>
        <w:t xml:space="preserve"> </w:t>
      </w:r>
      <w:r>
        <w:rPr>
          <w:rFonts w:eastAsia="Times New Roman"/>
        </w:rPr>
        <w:t>d</w:t>
      </w:r>
      <w:r w:rsidRPr="001D6CA2">
        <w:rPr>
          <w:rFonts w:eastAsia="Times New Roman"/>
        </w:rPr>
        <w:t>o Al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+3</w:t>
      </w:r>
      <w:r>
        <w:rPr>
          <w:rFonts w:eastAsia="Times New Roman"/>
        </w:rPr>
        <w:t xml:space="preserve"> </w:t>
      </w:r>
      <w:r w:rsidRPr="000B396C">
        <w:rPr>
          <w:rFonts w:eastAsia="Times New Roman"/>
        </w:rPr>
        <w:t>(Z</w:t>
      </w:r>
      <w:r>
        <w:rPr>
          <w:rFonts w:eastAsia="Times New Roman"/>
        </w:rPr>
        <w:t>AMBROSI</w:t>
      </w:r>
      <w:r w:rsidRPr="000B396C">
        <w:rPr>
          <w:rFonts w:eastAsia="Times New Roman"/>
        </w:rPr>
        <w:t xml:space="preserve"> et al., 2007</w:t>
      </w:r>
      <w:r>
        <w:rPr>
          <w:rFonts w:eastAsia="Times New Roman"/>
        </w:rPr>
        <w:t xml:space="preserve">), </w:t>
      </w:r>
      <w:r w:rsidRPr="001D6CA2">
        <w:rPr>
          <w:rFonts w:eastAsia="Times New Roman"/>
        </w:rPr>
        <w:t>e adiciona Ca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 xml:space="preserve">+2 </w:t>
      </w:r>
      <w:r w:rsidRPr="001D6CA2">
        <w:rPr>
          <w:rFonts w:eastAsia="Times New Roman"/>
        </w:rPr>
        <w:t>e Mg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+2</w:t>
      </w:r>
      <w:r w:rsidRPr="001D6CA2">
        <w:rPr>
          <w:rFonts w:eastAsia="Times New Roman"/>
        </w:rPr>
        <w:t>, proporcionando condições favoráveis para a alta produtividade de milho semente</w:t>
      </w:r>
      <w:r>
        <w:rPr>
          <w:rFonts w:eastAsia="Times New Roman"/>
        </w:rPr>
        <w:t xml:space="preserve"> (FAGERIA</w:t>
      </w:r>
      <w:r w:rsidR="00A258C6">
        <w:rPr>
          <w:rFonts w:eastAsia="Times New Roman"/>
        </w:rPr>
        <w:t xml:space="preserve"> a</w:t>
      </w:r>
      <w:r>
        <w:rPr>
          <w:rFonts w:eastAsia="Times New Roman"/>
        </w:rPr>
        <w:t>, 2001). Caso</w:t>
      </w:r>
      <w:r w:rsidRPr="001D6CA2">
        <w:rPr>
          <w:rFonts w:eastAsia="Times New Roman"/>
        </w:rPr>
        <w:t xml:space="preserve"> as condições de nutrição não forem as mais adequa</w:t>
      </w:r>
      <w:r w:rsidR="00F27244">
        <w:rPr>
          <w:rFonts w:eastAsia="Times New Roman"/>
        </w:rPr>
        <w:t xml:space="preserve">das, as plantas irão produzir </w:t>
      </w:r>
      <w:r w:rsidRPr="001D6CA2">
        <w:rPr>
          <w:rFonts w:eastAsia="Times New Roman"/>
        </w:rPr>
        <w:t>pou</w:t>
      </w:r>
      <w:r w:rsidR="00C13AA0">
        <w:rPr>
          <w:rFonts w:eastAsia="Times New Roman"/>
        </w:rPr>
        <w:t xml:space="preserve">cas sementes e direcionar </w:t>
      </w:r>
      <w:r w:rsidRPr="001D6CA2">
        <w:rPr>
          <w:rFonts w:eastAsia="Times New Roman"/>
        </w:rPr>
        <w:t xml:space="preserve">seus </w:t>
      </w:r>
      <w:proofErr w:type="spellStart"/>
      <w:r w:rsidRPr="001D6CA2">
        <w:rPr>
          <w:rFonts w:eastAsia="Times New Roman"/>
        </w:rPr>
        <w:t>fotoassimiliados</w:t>
      </w:r>
      <w:proofErr w:type="spellEnd"/>
      <w:r w:rsidRPr="001D6CA2">
        <w:rPr>
          <w:rFonts w:eastAsia="Times New Roman"/>
        </w:rPr>
        <w:t xml:space="preserve"> para essas</w:t>
      </w:r>
      <w:r>
        <w:rPr>
          <w:rFonts w:eastAsia="Times New Roman"/>
        </w:rPr>
        <w:t xml:space="preserve"> (CÍCERO et al.,</w:t>
      </w:r>
      <w:r w:rsidRPr="001D6CA2">
        <w:rPr>
          <w:rFonts w:eastAsia="Times New Roman"/>
        </w:rPr>
        <w:t xml:space="preserve">1981). Isso </w:t>
      </w:r>
      <w:r w:rsidR="00746942">
        <w:rPr>
          <w:rFonts w:eastAsia="Times New Roman"/>
        </w:rPr>
        <w:t xml:space="preserve">quer dizer que </w:t>
      </w:r>
      <w:r>
        <w:rPr>
          <w:rFonts w:eastAsia="Times New Roman"/>
        </w:rPr>
        <w:t xml:space="preserve">segundo este autor, </w:t>
      </w:r>
      <w:r w:rsidRPr="001D6CA2">
        <w:rPr>
          <w:rFonts w:eastAsia="Times New Roman"/>
        </w:rPr>
        <w:t>do ponto de vista fisiológico</w:t>
      </w:r>
      <w:r>
        <w:rPr>
          <w:rFonts w:eastAsia="Times New Roman"/>
        </w:rPr>
        <w:t xml:space="preserve">, </w:t>
      </w:r>
      <w:r w:rsidRPr="001D6CA2">
        <w:rPr>
          <w:rFonts w:eastAsia="Times New Roman"/>
        </w:rPr>
        <w:t xml:space="preserve">as poucas sementes obtidas provavelmente </w:t>
      </w:r>
      <w:r w:rsidRPr="001D6CA2">
        <w:rPr>
          <w:rFonts w:eastAsia="Times New Roman"/>
        </w:rPr>
        <w:lastRenderedPageBreak/>
        <w:t xml:space="preserve">possuirão a qualidade assegurada. Contudo, em explorações comerciais, visa-se maximizar a produção por planta, procura-se adaptar as exigências </w:t>
      </w:r>
      <w:r>
        <w:rPr>
          <w:rFonts w:eastAsia="Times New Roman"/>
        </w:rPr>
        <w:t>nutricionais e de pH do solo</w:t>
      </w:r>
      <w:r w:rsidRPr="001D6CA2">
        <w:rPr>
          <w:rFonts w:eastAsia="Times New Roman"/>
        </w:rPr>
        <w:t xml:space="preserve"> para que elas possuam os melhores dese</w:t>
      </w:r>
      <w:r>
        <w:rPr>
          <w:rFonts w:eastAsia="Times New Roman"/>
        </w:rPr>
        <w:t xml:space="preserve">mpenhos. </w:t>
      </w:r>
    </w:p>
    <w:p w14:paraId="2B2C9CC4" w14:textId="7ADC77FF" w:rsidR="00737BF6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>No cenário atual as empresas produtoras de sementes de milho híbrido têm contratado agricultores para a produção de sementes</w:t>
      </w:r>
      <w:r w:rsidR="00746942">
        <w:rPr>
          <w:rFonts w:eastAsia="Times New Roman"/>
        </w:rPr>
        <w:t xml:space="preserve">, os quais </w:t>
      </w:r>
      <w:r>
        <w:rPr>
          <w:rFonts w:eastAsia="Times New Roman"/>
        </w:rPr>
        <w:t>encarregam</w:t>
      </w:r>
      <w:r w:rsidR="00746942">
        <w:rPr>
          <w:rFonts w:eastAsia="Times New Roman"/>
        </w:rPr>
        <w:t>-se</w:t>
      </w:r>
      <w:r>
        <w:rPr>
          <w:rFonts w:eastAsia="Times New Roman"/>
        </w:rPr>
        <w:t xml:space="preserve"> de todas as operações </w:t>
      </w:r>
      <w:r w:rsidR="00746942">
        <w:rPr>
          <w:rFonts w:eastAsia="Times New Roman"/>
        </w:rPr>
        <w:t xml:space="preserve">- </w:t>
      </w:r>
      <w:r>
        <w:rPr>
          <w:rFonts w:eastAsia="Times New Roman"/>
        </w:rPr>
        <w:t xml:space="preserve">desde o </w:t>
      </w:r>
      <w:r w:rsidR="00DA3B45">
        <w:rPr>
          <w:rFonts w:eastAsia="Times New Roman"/>
        </w:rPr>
        <w:t>preparo do terreno até a colheit</w:t>
      </w:r>
      <w:r>
        <w:rPr>
          <w:rFonts w:eastAsia="Times New Roman"/>
        </w:rPr>
        <w:t>a, sob a supervisão da companhia contratante.</w:t>
      </w:r>
      <w:r w:rsidRPr="007C1DC1">
        <w:rPr>
          <w:rFonts w:eastAsia="Times New Roman"/>
        </w:rPr>
        <w:t xml:space="preserve"> (SATO, 1991)</w:t>
      </w:r>
      <w:r>
        <w:rPr>
          <w:rFonts w:eastAsia="Times New Roman"/>
        </w:rPr>
        <w:t>. Nisto, a empresa a qual demandou o trabalho delega ao agricu</w:t>
      </w:r>
      <w:r w:rsidR="00746942">
        <w:rPr>
          <w:rFonts w:eastAsia="Times New Roman"/>
        </w:rPr>
        <w:t xml:space="preserve">ltor a responsabilidade de que </w:t>
      </w:r>
      <w:r>
        <w:rPr>
          <w:rFonts w:eastAsia="Times New Roman"/>
        </w:rPr>
        <w:t xml:space="preserve">o solo no momento do plantio esteja com o pH de no mínimo de 5. Além disso, o produtor que apresenta um pH acima de 5,5 ou saturação por bases acima de 65 % é bonificado financeiramente por hectare contratado. </w:t>
      </w:r>
    </w:p>
    <w:p w14:paraId="6986E26B" w14:textId="36D3C2D0" w:rsidR="00737BF6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>Os produtores de grãos do Rio Grande do Sul, normalmente, têm estabelecido em suas propriedades o sistema de plantio direto como método de produção, portanto, o uso de culturas na entressafra objetiva a cobertura do solo para dar continuidade aos efeitos desse manejo conservacionista (</w:t>
      </w:r>
      <w:r w:rsidRPr="00D91D62">
        <w:rPr>
          <w:rFonts w:eastAsia="Times New Roman"/>
        </w:rPr>
        <w:t>C</w:t>
      </w:r>
      <w:r>
        <w:rPr>
          <w:rFonts w:eastAsia="Times New Roman"/>
        </w:rPr>
        <w:t>HAVES</w:t>
      </w:r>
      <w:r w:rsidRPr="00D91D62">
        <w:rPr>
          <w:rFonts w:eastAsia="Times New Roman"/>
        </w:rPr>
        <w:t xml:space="preserve"> &amp; C</w:t>
      </w:r>
      <w:r>
        <w:rPr>
          <w:rFonts w:eastAsia="Times New Roman"/>
        </w:rPr>
        <w:t>ALEGARI</w:t>
      </w:r>
      <w:r w:rsidRPr="00D91D62">
        <w:rPr>
          <w:rFonts w:eastAsia="Times New Roman"/>
        </w:rPr>
        <w:t>, 2001</w:t>
      </w:r>
      <w:r>
        <w:rPr>
          <w:rFonts w:eastAsia="Times New Roman"/>
        </w:rPr>
        <w:t xml:space="preserve">). </w:t>
      </w:r>
      <w:r w:rsidR="00746942">
        <w:rPr>
          <w:rFonts w:eastAsia="Times New Roman"/>
        </w:rPr>
        <w:t>A</w:t>
      </w:r>
      <w:r>
        <w:rPr>
          <w:rFonts w:eastAsia="Times New Roman"/>
        </w:rPr>
        <w:t>s análises de solo feitas antes da contratação da área</w:t>
      </w:r>
      <w:r w:rsidR="00746942">
        <w:rPr>
          <w:rFonts w:eastAsia="Times New Roman"/>
        </w:rPr>
        <w:t>, desse modo,</w:t>
      </w:r>
      <w:r>
        <w:rPr>
          <w:rFonts w:eastAsia="Times New Roman"/>
        </w:rPr>
        <w:t xml:space="preserve"> são realizadas pelas empresas contratantes após a dessecação da cultura da entressafra e um laudo é gerado com os atributos químicos do solo. Caso o resultado de pH e saturação por bases sejam inferiores aos </w:t>
      </w:r>
      <w:r w:rsidR="007C4132">
        <w:rPr>
          <w:rFonts w:eastAsia="Times New Roman"/>
        </w:rPr>
        <w:t>exigidos</w:t>
      </w:r>
      <w:r>
        <w:rPr>
          <w:rFonts w:eastAsia="Times New Roman"/>
        </w:rPr>
        <w:t xml:space="preserve"> anteriormente, o agricultor tem a possibilidade de efetuar calagem, visando adequar a qualidade química do seu solo ao requerido até a época de plantio, quando haver</w:t>
      </w:r>
      <w:r w:rsidR="00746942">
        <w:rPr>
          <w:rFonts w:eastAsia="Times New Roman"/>
        </w:rPr>
        <w:t>á uma nova análise de solo. O</w:t>
      </w:r>
      <w:r>
        <w:rPr>
          <w:rFonts w:eastAsia="Times New Roman"/>
        </w:rPr>
        <w:t xml:space="preserve"> período de tempo entre o resultado da análise inicial e a nova coleta de solo é </w:t>
      </w:r>
      <w:r w:rsidR="00746942">
        <w:rPr>
          <w:rFonts w:eastAsia="Times New Roman"/>
        </w:rPr>
        <w:t>de aproximadamente 20 dias. A</w:t>
      </w:r>
      <w:r>
        <w:rPr>
          <w:rFonts w:eastAsia="Times New Roman"/>
        </w:rPr>
        <w:t xml:space="preserve"> data</w:t>
      </w:r>
      <w:r w:rsidR="00746942">
        <w:rPr>
          <w:rFonts w:eastAsia="Times New Roman"/>
        </w:rPr>
        <w:t xml:space="preserve"> citada</w:t>
      </w:r>
      <w:r>
        <w:rPr>
          <w:rFonts w:eastAsia="Times New Roman"/>
        </w:rPr>
        <w:t xml:space="preserve"> é proposta pela empresa contratante estando de acordo com o planejamento de plantio para efetuar a semeadura de milho daquela região produtora. Neste caso só é possível realizar a calagem após a colheita da entressafra, fato este que reduz o tempo hábil de correção do solo. Portanto, os produtores que necessitarem se adequar, precisam de produtos capazes de elevar o pH para cerca de 5,5 e a saturação por bases a 65%, em um curto período de tempo (~ 20 dias).</w:t>
      </w:r>
    </w:p>
    <w:p w14:paraId="76A90D31" w14:textId="217B196E" w:rsidR="00737BF6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Existem no mercado vários materiais corretivos, no Brasil entretanto, usa-se principalmente o calcário </w:t>
      </w:r>
      <w:proofErr w:type="spellStart"/>
      <w:r>
        <w:rPr>
          <w:rFonts w:eastAsia="Times New Roman"/>
        </w:rPr>
        <w:t>dolomítico</w:t>
      </w:r>
      <w:proofErr w:type="spellEnd"/>
      <w:r>
        <w:rPr>
          <w:rFonts w:eastAsia="Times New Roman"/>
        </w:rPr>
        <w:t xml:space="preserve"> </w:t>
      </w:r>
      <w:r w:rsidRPr="00351B90">
        <w:rPr>
          <w:rFonts w:eastAsia="Times New Roman"/>
        </w:rPr>
        <w:t>(RODRIGUES, 2002)</w:t>
      </w:r>
      <w:r>
        <w:rPr>
          <w:rFonts w:eastAsia="Times New Roman"/>
        </w:rPr>
        <w:t xml:space="preserve"> em razão da sua facilidade, baixo custo e volume disponível (SOUZA et al., 2011). Este tipo de calcário é constituído por carbonato de cálcio (CaCO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>3</w:t>
      </w:r>
      <w:r>
        <w:rPr>
          <w:rFonts w:eastAsia="Times New Roman"/>
        </w:rPr>
        <w:t xml:space="preserve">) e, no solo, em contato com a água, o calcário libera </w:t>
      </w:r>
      <w:r w:rsidRPr="001D6CA2">
        <w:rPr>
          <w:rFonts w:eastAsia="Times New Roman"/>
        </w:rPr>
        <w:t>Ca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+2</w:t>
      </w:r>
      <w:r>
        <w:rPr>
          <w:rFonts w:eastAsia="Times New Roman"/>
        </w:rPr>
        <w:t xml:space="preserve">, </w:t>
      </w:r>
      <w:r w:rsidRPr="001D6CA2">
        <w:rPr>
          <w:rFonts w:eastAsia="Times New Roman"/>
        </w:rPr>
        <w:t>Mg</w:t>
      </w:r>
      <w:r w:rsidRPr="001D6CA2">
        <w:rPr>
          <w:rFonts w:eastAsia="Times New Roman" w:cs="Arial"/>
          <w:color w:val="545454"/>
          <w:shd w:val="clear" w:color="auto" w:fill="FFFFFF"/>
          <w:vertAlign w:val="superscript"/>
        </w:rPr>
        <w:t>+2</w:t>
      </w:r>
      <w:r>
        <w:rPr>
          <w:rFonts w:eastAsia="Times New Roman"/>
        </w:rPr>
        <w:t xml:space="preserve"> e carbonato (CO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>-3</w:t>
      </w:r>
      <w:r>
        <w:rPr>
          <w:rFonts w:eastAsia="Times New Roman"/>
        </w:rPr>
        <w:t>) e depois bicarbonato (HCO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>-3</w:t>
      </w:r>
      <w:r>
        <w:rPr>
          <w:rFonts w:eastAsia="Times New Roman"/>
        </w:rPr>
        <w:t xml:space="preserve">). </w:t>
      </w:r>
      <w:r w:rsidR="00746942">
        <w:rPr>
          <w:rFonts w:eastAsia="Times New Roman"/>
        </w:rPr>
        <w:t xml:space="preserve">Os dois </w:t>
      </w:r>
      <w:r w:rsidR="00746942">
        <w:rPr>
          <w:rFonts w:eastAsia="Times New Roman"/>
        </w:rPr>
        <w:lastRenderedPageBreak/>
        <w:t>ú</w:t>
      </w:r>
      <w:r w:rsidR="0081402E">
        <w:rPr>
          <w:rFonts w:eastAsia="Times New Roman"/>
        </w:rPr>
        <w:t xml:space="preserve">ltimos supracitados </w:t>
      </w:r>
      <w:r>
        <w:rPr>
          <w:rFonts w:eastAsia="Times New Roman"/>
        </w:rPr>
        <w:t>possibilitam a formação de OH</w:t>
      </w:r>
      <w:r>
        <w:rPr>
          <w:rFonts w:eastAsia="Times New Roman" w:cs="Arial"/>
          <w:color w:val="545454"/>
          <w:shd w:val="clear" w:color="auto" w:fill="FFFFFF"/>
          <w:vertAlign w:val="superscript"/>
        </w:rPr>
        <w:t>-</w:t>
      </w:r>
      <w:r>
        <w:rPr>
          <w:rFonts w:eastAsia="Times New Roman"/>
        </w:rPr>
        <w:t xml:space="preserve">, de liberação lenta caracterizando-o </w:t>
      </w:r>
      <w:r w:rsidR="007C4132">
        <w:rPr>
          <w:rFonts w:eastAsia="Times New Roman"/>
        </w:rPr>
        <w:t>como base fraca (PRIMAVESI, 2006</w:t>
      </w:r>
      <w:r>
        <w:rPr>
          <w:rFonts w:eastAsia="Times New Roman"/>
        </w:rPr>
        <w:t>).</w:t>
      </w:r>
    </w:p>
    <w:p w14:paraId="4E6C0756" w14:textId="16E6877D" w:rsidR="00737BF6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>Um se</w:t>
      </w:r>
      <w:r w:rsidR="0081402E">
        <w:rPr>
          <w:rFonts w:eastAsia="Times New Roman"/>
        </w:rPr>
        <w:t>gundo tipo de calcário é a cal virgem agrícola. Esta fonte de</w:t>
      </w:r>
      <w:r>
        <w:rPr>
          <w:rFonts w:eastAsia="Times New Roman"/>
        </w:rPr>
        <w:t xml:space="preserve"> calcário passa por um processo de calcinação ou queima completa, seus constituintes são óxido de cálcio (</w:t>
      </w:r>
      <w:proofErr w:type="spellStart"/>
      <w:r>
        <w:rPr>
          <w:rFonts w:eastAsia="Times New Roman"/>
        </w:rPr>
        <w:t>CaO</w:t>
      </w:r>
      <w:proofErr w:type="spellEnd"/>
      <w:r>
        <w:rPr>
          <w:rFonts w:eastAsia="Times New Roman"/>
        </w:rPr>
        <w:t>) e óxido de magnésio (</w:t>
      </w:r>
      <w:proofErr w:type="spellStart"/>
      <w:r>
        <w:rPr>
          <w:rFonts w:eastAsia="Times New Roman"/>
        </w:rPr>
        <w:t>MgO</w:t>
      </w:r>
      <w:proofErr w:type="spellEnd"/>
      <w:r>
        <w:rPr>
          <w:rFonts w:eastAsia="Times New Roman"/>
        </w:rPr>
        <w:t>), assim, apresenta-se como pó fino com liberação rápida de OH</w:t>
      </w:r>
      <w:r w:rsidRPr="0081402E">
        <w:rPr>
          <w:rFonts w:eastAsia="Times New Roman"/>
          <w:vertAlign w:val="superscript"/>
        </w:rPr>
        <w:t>-</w:t>
      </w:r>
      <w:r w:rsidR="0081402E">
        <w:rPr>
          <w:rFonts w:eastAsia="Times New Roman"/>
        </w:rPr>
        <w:t>,</w:t>
      </w:r>
      <w:r>
        <w:rPr>
          <w:rFonts w:eastAsia="Times New Roman"/>
        </w:rPr>
        <w:t xml:space="preserve"> característica </w:t>
      </w:r>
      <w:r w:rsidR="0081402E">
        <w:rPr>
          <w:rFonts w:eastAsia="Times New Roman"/>
        </w:rPr>
        <w:t xml:space="preserve">que </w:t>
      </w:r>
      <w:r>
        <w:rPr>
          <w:rFonts w:eastAsia="Times New Roman"/>
        </w:rPr>
        <w:t xml:space="preserve">confere o caráter de base forte à cal virgem agrícola (PRIMAVESI, 2004). Em resposta a essa rápida reação e o processamento deste calcário, o custo da cal virgem agrícola é bem superior ao </w:t>
      </w:r>
      <w:proofErr w:type="spellStart"/>
      <w:r>
        <w:rPr>
          <w:rFonts w:eastAsia="Times New Roman"/>
        </w:rPr>
        <w:t>dolomítico</w:t>
      </w:r>
      <w:proofErr w:type="spellEnd"/>
      <w:r>
        <w:rPr>
          <w:rFonts w:eastAsia="Times New Roman"/>
        </w:rPr>
        <w:t xml:space="preserve">. </w:t>
      </w:r>
    </w:p>
    <w:p w14:paraId="216255DF" w14:textId="77777777" w:rsidR="00737BF6" w:rsidRDefault="00737BF6" w:rsidP="00737BF6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A efetividade reativa dos corretivos é mensurada principalmente por dois fatores, sendo o primeiro o Poder de Neutralização (PN), que indica a capacidade potencial do corretivo de neutralizar a acidez do solo, portanto quanto maior o PN menor será a quantidade de corretivo aplicada no solo </w:t>
      </w:r>
      <w:r w:rsidRPr="00E27095">
        <w:rPr>
          <w:rFonts w:eastAsia="Times New Roman"/>
        </w:rPr>
        <w:t>(COELHO et al. 2014).</w:t>
      </w:r>
      <w:r>
        <w:rPr>
          <w:rFonts w:eastAsia="Times New Roman"/>
        </w:rPr>
        <w:t xml:space="preserve"> E o segundo o Poder Relativo de Neutralização Total (PRNT), fator relacionado à qualidade do produto e que mensura a quantidade do PN do corretivo que agirá em três meses (PRIMAVESI, 2004).</w:t>
      </w:r>
    </w:p>
    <w:p w14:paraId="54850781" w14:textId="5D08C7FB" w:rsidR="00737BF6" w:rsidRDefault="0081402E" w:rsidP="00737BF6">
      <w:pPr>
        <w:ind w:firstLine="567"/>
        <w:rPr>
          <w:rFonts w:eastAsia="Times New Roman"/>
        </w:rPr>
      </w:pPr>
      <w:r w:rsidRPr="0081402E">
        <w:rPr>
          <w:rFonts w:eastAsia="Times New Roman"/>
        </w:rPr>
        <w:t xml:space="preserve">Interessados em elevar o pH e a saturação por bases no solo para a otimização do processo e bonificação financeira em um curto espaço de tempo, os produtores </w:t>
      </w:r>
      <w:r w:rsidR="009E3FB1">
        <w:rPr>
          <w:rFonts w:eastAsia="Times New Roman"/>
        </w:rPr>
        <w:t>cooperados possuem alta demanda</w:t>
      </w:r>
      <w:r w:rsidRPr="0081402E">
        <w:rPr>
          <w:rFonts w:eastAsia="Times New Roman"/>
        </w:rPr>
        <w:t xml:space="preserve"> por produtos capazes de elevar os parâmetros do solo.</w:t>
      </w:r>
      <w:r w:rsidR="00737BF6">
        <w:rPr>
          <w:rFonts w:eastAsia="Times New Roman"/>
        </w:rPr>
        <w:t xml:space="preserve"> Dessa forma, tem-se a necessidade de avaliar se as fontes de calcário mais utilizadas são capazes de alcançar os valores desejados em tempo hábil, assim como as fontes com custo mais elevado, como a cal virgem agrícola mais comercializada na região de produção de sementes do Rio Grande do Sul. Assim, objetivou-se avaliar a ação corretiva e o tempo em dias, de reatividade de duas fontes de ca</w:t>
      </w:r>
      <w:r w:rsidR="00C26BBE">
        <w:rPr>
          <w:rFonts w:eastAsia="Times New Roman"/>
        </w:rPr>
        <w:t xml:space="preserve">lcário em aplicação superficial em áreas produtoras de milho semente no Rio Grande do Sul. </w:t>
      </w:r>
    </w:p>
    <w:p w14:paraId="0E7DC23F" w14:textId="77777777" w:rsidR="00DA3B45" w:rsidRPr="00080A88" w:rsidRDefault="00DA3B45" w:rsidP="00DA3B45">
      <w:p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14:paraId="0991B153" w14:textId="77777777" w:rsidR="0056690F" w:rsidRDefault="00DA3B45" w:rsidP="00DA3B45">
      <w:pPr>
        <w:pStyle w:val="Ttulo1"/>
        <w:numPr>
          <w:ilvl w:val="0"/>
          <w:numId w:val="2"/>
        </w:numPr>
      </w:pPr>
      <w:bookmarkStart w:id="1" w:name="_Toc487108316"/>
      <w:r>
        <w:lastRenderedPageBreak/>
        <w:t>OBJETIVOS</w:t>
      </w:r>
      <w:bookmarkEnd w:id="1"/>
    </w:p>
    <w:p w14:paraId="354C66BD" w14:textId="77777777" w:rsidR="00DA3B45" w:rsidRDefault="00DA3B45" w:rsidP="00DA3B45"/>
    <w:p w14:paraId="4F0E333B" w14:textId="77777777" w:rsidR="00DA3B45" w:rsidRPr="00DA3B45" w:rsidRDefault="00DA3B45" w:rsidP="00DA3B45"/>
    <w:p w14:paraId="6ED03EB7" w14:textId="77777777" w:rsidR="00DA3B45" w:rsidRDefault="00DA3B45" w:rsidP="00DA3B45">
      <w:pPr>
        <w:pStyle w:val="Subttulo"/>
      </w:pPr>
      <w:bookmarkStart w:id="2" w:name="_Toc487108317"/>
      <w:r w:rsidRPr="00DA3B45">
        <w:t>2.1) Objetivo Geral</w:t>
      </w:r>
      <w:bookmarkEnd w:id="2"/>
      <w:r w:rsidRPr="00DA3B45">
        <w:t xml:space="preserve"> </w:t>
      </w:r>
    </w:p>
    <w:p w14:paraId="4602DBFB" w14:textId="77777777" w:rsidR="00DA3B45" w:rsidRDefault="00DA3B45" w:rsidP="00DA3B45"/>
    <w:p w14:paraId="76BDFC6E" w14:textId="77777777" w:rsidR="00DA3B45" w:rsidRPr="00DA3B45" w:rsidRDefault="00DA3B45" w:rsidP="00DA3B45"/>
    <w:p w14:paraId="7189F667" w14:textId="77777777" w:rsidR="00DA3B45" w:rsidRDefault="00DA3B45" w:rsidP="00DA3B45">
      <w:r w:rsidRPr="00DA3B45">
        <w:t>Avaliar o efeito reativo de duas fontes de calcário sobre propriedades químicas do solo para cultivo de milho semente em 0, 20 e 40 dias</w:t>
      </w:r>
      <w:r>
        <w:t xml:space="preserve">. </w:t>
      </w:r>
    </w:p>
    <w:p w14:paraId="54BEC3BB" w14:textId="77777777" w:rsidR="00DA3B45" w:rsidRDefault="00DA3B45" w:rsidP="00DA3B45"/>
    <w:p w14:paraId="3567AF95" w14:textId="77777777" w:rsidR="00DA3B45" w:rsidRDefault="00DA3B45" w:rsidP="00DA3B45"/>
    <w:p w14:paraId="65C7A804" w14:textId="77777777" w:rsidR="00DA3B45" w:rsidRDefault="00DA3B45" w:rsidP="00DA3B45">
      <w:pPr>
        <w:pStyle w:val="Subttulo"/>
      </w:pPr>
      <w:bookmarkStart w:id="3" w:name="_Toc487108318"/>
      <w:r>
        <w:t>2.2) Objetivos Específicos</w:t>
      </w:r>
      <w:bookmarkEnd w:id="3"/>
    </w:p>
    <w:p w14:paraId="378586D5" w14:textId="77777777" w:rsidR="00DA3B45" w:rsidRDefault="00DA3B45" w:rsidP="00DA3B45"/>
    <w:p w14:paraId="18926A01" w14:textId="77777777" w:rsidR="00DA3B45" w:rsidRDefault="00DA3B45" w:rsidP="00DA3B45"/>
    <w:p w14:paraId="43F96CEC" w14:textId="77777777" w:rsidR="00DA3B45" w:rsidRDefault="00DA3B45" w:rsidP="00DA3B45">
      <w:r>
        <w:t xml:space="preserve">Avaliar o efeito reativo do calcário </w:t>
      </w:r>
      <w:proofErr w:type="spellStart"/>
      <w:r>
        <w:t>dolomítico</w:t>
      </w:r>
      <w:proofErr w:type="spellEnd"/>
      <w:r>
        <w:t xml:space="preserve"> e da cal virgem agrícola sobre o pH e sobre a saturação por bases no solo após suas aplicações em áreas produtoras de milho semente. </w:t>
      </w:r>
    </w:p>
    <w:p w14:paraId="2FF86D08" w14:textId="5D56E0F8" w:rsidR="00DA3B45" w:rsidRPr="00B74508" w:rsidRDefault="00DA3B45" w:rsidP="00B74508">
      <w:r>
        <w:t xml:space="preserve">Verificar se há superioridade no efeito da correção do pH e da saturação por bases da cal virgem agrícola em relação ao calcário </w:t>
      </w:r>
      <w:proofErr w:type="spellStart"/>
      <w:r>
        <w:t>dolomítico</w:t>
      </w:r>
      <w:proofErr w:type="spellEnd"/>
      <w:r>
        <w:t xml:space="preserve">. </w:t>
      </w:r>
      <w:r w:rsidRPr="00B74508">
        <w:br w:type="page"/>
      </w:r>
    </w:p>
    <w:p w14:paraId="687B9A5B" w14:textId="77777777" w:rsidR="00DA3B45" w:rsidRDefault="00DA3B45" w:rsidP="00DA3B45">
      <w:pPr>
        <w:pStyle w:val="Ttulo1"/>
        <w:numPr>
          <w:ilvl w:val="0"/>
          <w:numId w:val="2"/>
        </w:numPr>
      </w:pPr>
      <w:bookmarkStart w:id="4" w:name="_Toc487108319"/>
      <w:r>
        <w:lastRenderedPageBreak/>
        <w:t>MATERIAL E MÉTODOS</w:t>
      </w:r>
      <w:bookmarkEnd w:id="4"/>
    </w:p>
    <w:p w14:paraId="68DD75B7" w14:textId="77777777" w:rsidR="00DA3B45" w:rsidRDefault="00DA3B45" w:rsidP="00DA3B45"/>
    <w:p w14:paraId="12F9D376" w14:textId="77777777" w:rsidR="00DA3B45" w:rsidRPr="00DA3B45" w:rsidRDefault="00DA3B45" w:rsidP="00DA3B45"/>
    <w:p w14:paraId="15321183" w14:textId="77777777" w:rsidR="00DA3B45" w:rsidRDefault="00DA3B45" w:rsidP="00DA3B45">
      <w:pPr>
        <w:pStyle w:val="Subttulo"/>
      </w:pPr>
      <w:bookmarkStart w:id="5" w:name="_Toc487108320"/>
      <w:r>
        <w:t>3.1) Caracterização da área experimental</w:t>
      </w:r>
      <w:bookmarkEnd w:id="5"/>
    </w:p>
    <w:p w14:paraId="3CD6988B" w14:textId="77777777" w:rsidR="00DA3B45" w:rsidRPr="00DA3B45" w:rsidRDefault="00DA3B45" w:rsidP="00DA3B45"/>
    <w:p w14:paraId="0FA6F10E" w14:textId="77777777" w:rsidR="00DA3B45" w:rsidRDefault="00DA3B45" w:rsidP="00DA3B45"/>
    <w:p w14:paraId="127A506C" w14:textId="77777777" w:rsidR="00DA3B45" w:rsidRDefault="00DA3B45" w:rsidP="00B74508">
      <w:pPr>
        <w:ind w:firstLine="708"/>
      </w:pPr>
      <w:r>
        <w:t xml:space="preserve">O experimento foi conduzido nos municípios de Cruz Alta e Santo Augusto, ambos no estado do Rio Grande do Sul, em pivôs contratados para produção de milho semente para uma empresa multinacional. O pivô usado em Cruz Alta, possui localidade geográfica de 28º 45’ 46,9’’ latitude sul, 053º 25’ 42,5’’ longitude Oeste e altitude de 395 m. O solo é caracterizado como </w:t>
      </w:r>
      <w:proofErr w:type="spellStart"/>
      <w:r>
        <w:t>Latossolo</w:t>
      </w:r>
      <w:proofErr w:type="spellEnd"/>
      <w:r>
        <w:t xml:space="preserve"> Vermelho Distrófico Típico descrito por (EMBRAPA, 2013). Já o pivô em Santo Augusto a localidade geográfica é 27º 57’ 33,9’’ latitude sul, 054º 05’ 32,6’’ longitude Oeste e altitude de 408m. O solo é caracterizado como </w:t>
      </w:r>
      <w:proofErr w:type="spellStart"/>
      <w:r>
        <w:t>Latossolo</w:t>
      </w:r>
      <w:proofErr w:type="spellEnd"/>
      <w:r>
        <w:t xml:space="preserve"> Vermelho Escuro Distrófico (EMBRAPA, 2013). </w:t>
      </w:r>
    </w:p>
    <w:p w14:paraId="796C0AC2" w14:textId="77777777" w:rsidR="00DA3B45" w:rsidRDefault="00DA3B45" w:rsidP="00DA3B45"/>
    <w:p w14:paraId="40E5B847" w14:textId="77777777" w:rsidR="00DA3B45" w:rsidRDefault="00DA3B45" w:rsidP="00DA3B45"/>
    <w:p w14:paraId="47DB42C0" w14:textId="77777777" w:rsidR="00DA3B45" w:rsidRDefault="00DA3B45" w:rsidP="00DA3B45">
      <w:pPr>
        <w:pStyle w:val="Subttulo"/>
      </w:pPr>
      <w:bookmarkStart w:id="6" w:name="_Toc487108321"/>
      <w:r>
        <w:t>3.2) Coleta de dados</w:t>
      </w:r>
      <w:bookmarkEnd w:id="6"/>
      <w:r>
        <w:t xml:space="preserve"> </w:t>
      </w:r>
    </w:p>
    <w:p w14:paraId="419C9A1D" w14:textId="77777777" w:rsidR="00DA3B45" w:rsidRDefault="00DA3B45" w:rsidP="00DA3B45"/>
    <w:p w14:paraId="2FD126A0" w14:textId="77777777" w:rsidR="00DA3B45" w:rsidRDefault="00DA3B45" w:rsidP="00DA3B45"/>
    <w:p w14:paraId="05C384AC" w14:textId="77777777" w:rsidR="00DA3B45" w:rsidRDefault="00DA3B45" w:rsidP="00DA3B45">
      <w:pPr>
        <w:pStyle w:val="Subttulo"/>
      </w:pPr>
      <w:bookmarkStart w:id="7" w:name="_Toc487108322"/>
      <w:r>
        <w:t>3.2.1) Amostra de solo inicial</w:t>
      </w:r>
      <w:bookmarkEnd w:id="7"/>
    </w:p>
    <w:p w14:paraId="38C564F8" w14:textId="77777777" w:rsidR="00DA3B45" w:rsidRDefault="00DA3B45" w:rsidP="00DA3B45"/>
    <w:p w14:paraId="07BF5790" w14:textId="77777777" w:rsidR="00DA3B45" w:rsidRPr="00DA3B45" w:rsidRDefault="00DA3B45" w:rsidP="00DA3B45"/>
    <w:p w14:paraId="528EDE24" w14:textId="360BF338" w:rsidR="00DA3B45" w:rsidRDefault="00DA3B45" w:rsidP="00DA3B45">
      <w:r>
        <w:tab/>
        <w:t>As amostras inicias de solo da área foram retiradas no mês de julho de 2016 em 30 pontos na profundidade de 0 a 10 cm, na área mais h</w:t>
      </w:r>
      <w:r w:rsidR="0081402E">
        <w:t>omogênea presente em cada pivô.</w:t>
      </w:r>
      <w:r>
        <w:t xml:space="preserve"> O objetivo dessa amostragem foi o cálculo da quantidade de calcário </w:t>
      </w:r>
      <w:proofErr w:type="spellStart"/>
      <w:r>
        <w:t>dolomítico</w:t>
      </w:r>
      <w:proofErr w:type="spellEnd"/>
      <w:r>
        <w:t xml:space="preserve"> a ser aplicada na área de forma superficial e caracterização </w:t>
      </w:r>
      <w:r w:rsidR="0081402E">
        <w:t>das condições iniciais do solo.</w:t>
      </w:r>
      <w:r>
        <w:t xml:space="preserve"> A pá de corte reta foi utilizada como ferra</w:t>
      </w:r>
      <w:r w:rsidR="0081402E">
        <w:t>menta de retirada das amostras, que</w:t>
      </w:r>
      <w:r>
        <w:t xml:space="preserve"> foram homogeneizadas, embaladas e identificadas, individualmente, em saco plástico fornecido pelo laboratório e transportadas para a analise no laboratório de solos da Cooperativa Central Gaúcha </w:t>
      </w:r>
      <w:proofErr w:type="spellStart"/>
      <w:r>
        <w:t>Ltda</w:t>
      </w:r>
      <w:proofErr w:type="spellEnd"/>
      <w:r>
        <w:t xml:space="preserve"> (CCGL). O procedimento e os resultados das amostras da coleta podem ser verificados respectivamente pela Figura 1 e pela Tabela 1.</w:t>
      </w:r>
    </w:p>
    <w:p w14:paraId="4DECF913" w14:textId="77777777" w:rsidR="00DA3B45" w:rsidRDefault="00DA3B45" w:rsidP="00DA3B45"/>
    <w:p w14:paraId="171C1A42" w14:textId="77777777" w:rsidR="00DA3B45" w:rsidRDefault="00B74508" w:rsidP="00DA3B45">
      <w:r>
        <w:rPr>
          <w:noProof/>
          <w:lang w:eastAsia="pt-BR"/>
        </w:rPr>
        <w:lastRenderedPageBreak/>
        <w:drawing>
          <wp:inline distT="0" distB="0" distL="0" distR="0" wp14:anchorId="66B596A0" wp14:editId="5F6077A7">
            <wp:extent cx="1078992" cy="143865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2DB215B" wp14:editId="7B9B51CF">
            <wp:extent cx="1078992" cy="1438656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09E636B" wp14:editId="2758C508">
            <wp:extent cx="1078992" cy="143865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38B907C" wp14:editId="6C32B0F2">
            <wp:extent cx="1085088" cy="1438656"/>
            <wp:effectExtent l="0" t="0" r="762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FBB3430" wp14:editId="7BCE1470">
            <wp:extent cx="1078992" cy="1438656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0CFA" w14:textId="7523B7F0" w:rsidR="00B74508" w:rsidRDefault="00B74508" w:rsidP="00A276DE">
      <w:pPr>
        <w:pStyle w:val="Ttulo2"/>
      </w:pPr>
      <w:bookmarkStart w:id="8" w:name="_Toc487108323"/>
      <w:r>
        <w:t>Figura 1. Método de coleta de solo utilizada.</w:t>
      </w:r>
      <w:bookmarkEnd w:id="8"/>
      <w:r w:rsidR="00F909A5">
        <w:t xml:space="preserve"> </w:t>
      </w:r>
    </w:p>
    <w:p w14:paraId="178692BD" w14:textId="77777777" w:rsidR="00B74508" w:rsidRDefault="00B74508" w:rsidP="00B74508">
      <w:pPr>
        <w:pStyle w:val="SemEspaamento"/>
      </w:pPr>
    </w:p>
    <w:p w14:paraId="20B80DD1" w14:textId="77777777" w:rsidR="00B74508" w:rsidRDefault="00A276DE" w:rsidP="00A276DE">
      <w:pPr>
        <w:pStyle w:val="Ttulo2"/>
      </w:pPr>
      <w:bookmarkStart w:id="9" w:name="_Toc487108324"/>
      <w:r>
        <w:t>Tabela 1. Resultado da análise do solo coletada nos dois locais do experimento.</w:t>
      </w:r>
      <w:bookmarkEnd w:id="9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A276DE" w14:paraId="3654516A" w14:textId="77777777" w:rsidTr="00A313BE">
        <w:tc>
          <w:tcPr>
            <w:tcW w:w="9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W w:w="94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215"/>
              <w:gridCol w:w="1214"/>
              <w:gridCol w:w="1214"/>
              <w:gridCol w:w="1214"/>
              <w:gridCol w:w="1214"/>
              <w:gridCol w:w="1214"/>
            </w:tblGrid>
            <w:tr w:rsidR="00A276DE" w:rsidRPr="00A276DE" w14:paraId="239C0899" w14:textId="77777777" w:rsidTr="00A313BE">
              <w:trPr>
                <w:trHeight w:val="340"/>
                <w:jc w:val="center"/>
              </w:trPr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6C465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Local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93CBE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Solo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C2DFF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pH</w:t>
                  </w:r>
                  <w:proofErr w:type="gramEnd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H2O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D7BD5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Índice SMP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47F4E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Argila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4C6F3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M.O.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14:paraId="6BA13C87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V%</w:t>
                  </w:r>
                </w:p>
              </w:tc>
            </w:tr>
            <w:tr w:rsidR="00A276DE" w:rsidRPr="00A276DE" w14:paraId="64A81F58" w14:textId="77777777" w:rsidTr="00A313BE">
              <w:trPr>
                <w:trHeight w:val="320"/>
                <w:jc w:val="center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28B4F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7123D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3A560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C06F9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47A03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14:paraId="5389B315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%</w:t>
                  </w:r>
                </w:p>
              </w:tc>
            </w:tr>
            <w:tr w:rsidR="00A276DE" w:rsidRPr="00A276DE" w14:paraId="615E1AC5" w14:textId="77777777" w:rsidTr="004E07CA">
              <w:trPr>
                <w:trHeight w:val="320"/>
                <w:jc w:val="center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75055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Cruz Alta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18CCC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LVDT¹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31F43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32D2C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8D70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45,06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E5D3F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BFFB8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47,47</w:t>
                  </w:r>
                </w:p>
              </w:tc>
            </w:tr>
            <w:tr w:rsidR="00A276DE" w:rsidRPr="00A276DE" w14:paraId="0C1B128E" w14:textId="77777777" w:rsidTr="00AE5B9C">
              <w:trPr>
                <w:trHeight w:val="633"/>
                <w:jc w:val="center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5EB1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Santo Augusto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94819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LVED²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FA01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5,03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DE80E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C160F" w14:textId="061BE3DC" w:rsidR="00A276DE" w:rsidRPr="00A276DE" w:rsidRDefault="00AE5B9C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47</w:t>
                  </w:r>
                  <w:r w:rsidR="00A276DE"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72766" w14:textId="78B9DB0C" w:rsidR="00A276DE" w:rsidRPr="00A276DE" w:rsidRDefault="00AE5B9C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  <w:r w:rsidR="00A276DE"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,94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F534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57,08</w:t>
                  </w:r>
                </w:p>
              </w:tc>
            </w:tr>
            <w:tr w:rsidR="00A276DE" w:rsidRPr="00A276DE" w14:paraId="0300AF18" w14:textId="77777777" w:rsidTr="004E07CA">
              <w:trPr>
                <w:trHeight w:val="389"/>
                <w:jc w:val="center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38ECE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Continuação..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A37AB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69C3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40F59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D9E9B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A488B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DEB16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276DE" w:rsidRPr="00A276DE" w14:paraId="082785C3" w14:textId="77777777" w:rsidTr="004E07CA">
              <w:trPr>
                <w:trHeight w:val="340"/>
                <w:jc w:val="center"/>
              </w:trPr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9E82F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D4352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AL³+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C6F03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Ca²+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BB834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Mg²+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6954F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spellStart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H+Al</w:t>
                  </w:r>
                  <w:proofErr w:type="spellEnd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AB931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CTC*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F36D7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</w:t>
                  </w:r>
                </w:p>
              </w:tc>
            </w:tr>
            <w:tr w:rsidR="00A276DE" w:rsidRPr="00A276DE" w14:paraId="54116C44" w14:textId="77777777" w:rsidTr="004E07CA">
              <w:trPr>
                <w:trHeight w:val="320"/>
                <w:jc w:val="center"/>
              </w:trPr>
              <w:tc>
                <w:tcPr>
                  <w:tcW w:w="6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35165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spellStart"/>
                  <w:proofErr w:type="gramStart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cmol</w:t>
                  </w:r>
                  <w:r w:rsidRPr="00A276D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c</w:t>
                  </w:r>
                  <w:proofErr w:type="spellEnd"/>
                  <w:proofErr w:type="gramEnd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/dm³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67B71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pH</w:t>
                  </w:r>
                  <w:proofErr w:type="gramEnd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A5952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mg</w:t>
                  </w:r>
                  <w:proofErr w:type="gramEnd"/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/dm³</w:t>
                  </w:r>
                </w:p>
              </w:tc>
            </w:tr>
            <w:tr w:rsidR="00A276DE" w:rsidRPr="00A276DE" w14:paraId="4E38C9A8" w14:textId="77777777" w:rsidTr="004E07CA">
              <w:trPr>
                <w:trHeight w:val="320"/>
                <w:jc w:val="center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33F80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0,39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7E053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0,72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5AD49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5,82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5C142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184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3BEA5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8,95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5863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17,01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B2C8C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25,41</w:t>
                  </w:r>
                </w:p>
              </w:tc>
            </w:tr>
            <w:tr w:rsidR="00A276DE" w:rsidRPr="00A276DE" w14:paraId="27FA8F51" w14:textId="77777777" w:rsidTr="004E07CA">
              <w:trPr>
                <w:trHeight w:val="340"/>
                <w:jc w:val="center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D00DA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0,52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6AEB1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0,39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8B41C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7,12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28106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1,83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C778E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7,17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35B26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16,63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CB578" w14:textId="77777777" w:rsidR="00A276DE" w:rsidRPr="00A276DE" w:rsidRDefault="00A276DE" w:rsidP="00A276DE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276D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10,61</w:t>
                  </w:r>
                </w:p>
              </w:tc>
            </w:tr>
          </w:tbl>
          <w:p w14:paraId="5258DE48" w14:textId="77777777" w:rsidR="00A276DE" w:rsidRDefault="00A276DE" w:rsidP="00B74508"/>
        </w:tc>
      </w:tr>
    </w:tbl>
    <w:p w14:paraId="5BC42081" w14:textId="77777777" w:rsidR="00A276DE" w:rsidRPr="005F1AA9" w:rsidRDefault="00A276DE" w:rsidP="00A276DE">
      <w:pPr>
        <w:pStyle w:val="SemEspaamento"/>
      </w:pPr>
      <w:r>
        <w:t xml:space="preserve">Tabela 1. </w:t>
      </w:r>
      <w:r w:rsidRPr="005F1AA9">
        <w:t>Resultado da análise de solo coletada nos dois locais do experimento.</w:t>
      </w:r>
      <w:r>
        <w:t xml:space="preserve"> </w:t>
      </w:r>
      <w:r w:rsidRPr="005F1AA9">
        <w:t xml:space="preserve">Análises Realizadas pelo laboratório CCGL pH em água 1:1, P e K determinados pelo método </w:t>
      </w:r>
      <w:proofErr w:type="spellStart"/>
      <w:r w:rsidRPr="005F1AA9">
        <w:t>Mehlich</w:t>
      </w:r>
      <w:proofErr w:type="spellEnd"/>
      <w:r w:rsidRPr="005F1AA9">
        <w:t xml:space="preserve"> -1; M.O. por digestão úmida; Ca, Mg e Al trocáveis extraídos por </w:t>
      </w:r>
      <w:proofErr w:type="spellStart"/>
      <w:r w:rsidRPr="005F1AA9">
        <w:t>KCl</w:t>
      </w:r>
      <w:proofErr w:type="spellEnd"/>
      <w:r w:rsidRPr="005F1AA9">
        <w:t xml:space="preserve"> 1mol-1.</w:t>
      </w:r>
      <w:r>
        <w:t xml:space="preserve"> </w:t>
      </w:r>
      <w:r w:rsidRPr="005F1AA9">
        <w:t xml:space="preserve">¹ - </w:t>
      </w:r>
      <w:proofErr w:type="spellStart"/>
      <w:r w:rsidRPr="005F1AA9">
        <w:t>Latossolo</w:t>
      </w:r>
      <w:proofErr w:type="spellEnd"/>
      <w:r w:rsidRPr="005F1AA9">
        <w:t xml:space="preserve"> Vermelho Distrófico Típico do município de Cruz Alta/ ² - </w:t>
      </w:r>
      <w:proofErr w:type="spellStart"/>
      <w:r w:rsidRPr="005F1AA9">
        <w:t>Latossolo</w:t>
      </w:r>
      <w:proofErr w:type="spellEnd"/>
      <w:r w:rsidRPr="005F1AA9">
        <w:t xml:space="preserve"> Vermelho Escuro Distrófico do município de Santo Augusto.</w:t>
      </w:r>
    </w:p>
    <w:p w14:paraId="0E1FDC45" w14:textId="77777777" w:rsidR="00B74508" w:rsidRDefault="00B74508" w:rsidP="00B74508"/>
    <w:p w14:paraId="7751E9A7" w14:textId="77777777" w:rsidR="004E07CA" w:rsidRDefault="004E07CA" w:rsidP="00B74508"/>
    <w:p w14:paraId="1C7D9A6A" w14:textId="77777777" w:rsidR="00A276DE" w:rsidRDefault="00B6426E" w:rsidP="00A276DE">
      <w:pPr>
        <w:pStyle w:val="Subttulo"/>
      </w:pPr>
      <w:bookmarkStart w:id="10" w:name="_Toc487108325"/>
      <w:r>
        <w:t>3.3</w:t>
      </w:r>
      <w:r w:rsidR="00A276DE">
        <w:t>) Preparo e implementação do experimento</w:t>
      </w:r>
      <w:bookmarkEnd w:id="10"/>
    </w:p>
    <w:p w14:paraId="199999F8" w14:textId="77777777" w:rsidR="00A276DE" w:rsidRDefault="00A276DE" w:rsidP="00A276DE"/>
    <w:p w14:paraId="34B4812E" w14:textId="77777777" w:rsidR="004E07CA" w:rsidRPr="00A276DE" w:rsidRDefault="004E07CA" w:rsidP="00A276DE"/>
    <w:p w14:paraId="46CC06FE" w14:textId="6F4B22BB" w:rsidR="0081402E" w:rsidRDefault="004E07CA" w:rsidP="004E07CA">
      <w:pPr>
        <w:ind w:firstLine="708"/>
      </w:pPr>
      <w:r w:rsidRPr="004E07CA">
        <w:t>Após o recebimento dos resultados das amostras iniciais do solo, a necessidade de calagem</w:t>
      </w:r>
      <w:r>
        <w:t xml:space="preserve"> para o tratamento com a fonte de calcário </w:t>
      </w:r>
      <w:proofErr w:type="spellStart"/>
      <w:r>
        <w:t>dolomítico</w:t>
      </w:r>
      <w:proofErr w:type="spellEnd"/>
      <w:r w:rsidRPr="004E07CA">
        <w:t xml:space="preserve"> foi determinada a partir do método SMP visando atingir o pH igual a 5,5 na camada de 0 a 10 cm, em cobertura para o sistema plantio direto (CQFSRS/RS, 2004). O valor pH SMP foi igual a 5,5 para os dois</w:t>
      </w:r>
      <w:r w:rsidR="0081402E">
        <w:t xml:space="preserve"> locais</w:t>
      </w:r>
      <w:r w:rsidRPr="004E07CA">
        <w:t>, o que corresponde a indicação de 3,7 toneladas de calcário (PRNT a 100</w:t>
      </w:r>
      <w:r w:rsidR="0081402E">
        <w:t xml:space="preserve"> </w:t>
      </w:r>
      <w:r w:rsidRPr="004E07CA">
        <w:t>%) por hectare. Entretanto, como o PRNT do calcário a ser utilizado é igual a 91</w:t>
      </w:r>
      <w:r w:rsidR="0081402E">
        <w:t xml:space="preserve"> </w:t>
      </w:r>
      <w:r w:rsidRPr="004E07CA">
        <w:t xml:space="preserve">%, fez-se obrigatória a conversão da quantidade a ser aplicada (CQFSRS/RS, 2004), para quatro toneladas por hectare. </w:t>
      </w:r>
    </w:p>
    <w:p w14:paraId="0BCCA37F" w14:textId="48B587DF" w:rsidR="00A276DE" w:rsidRDefault="004E07CA" w:rsidP="004E07CA">
      <w:pPr>
        <w:ind w:firstLine="708"/>
      </w:pPr>
      <w:r w:rsidRPr="004E07CA">
        <w:lastRenderedPageBreak/>
        <w:t xml:space="preserve">A determinação das doses </w:t>
      </w:r>
      <w:r w:rsidR="0081402E">
        <w:t xml:space="preserve">testadas no experimento </w:t>
      </w:r>
      <w:r w:rsidRPr="004E07CA">
        <w:t>dos tratamentos pela cal virgem foram 50</w:t>
      </w:r>
      <w:r w:rsidR="0081402E">
        <w:t xml:space="preserve"> </w:t>
      </w:r>
      <w:r w:rsidRPr="004E07CA">
        <w:t>% e 100</w:t>
      </w:r>
      <w:r w:rsidR="0081402E">
        <w:t xml:space="preserve"> %, respectivamente, em relação à dose recomendada pelo </w:t>
      </w:r>
      <w:r w:rsidRPr="004E07CA">
        <w:t>revendedor.</w:t>
      </w:r>
      <w:r>
        <w:t xml:space="preserve"> As características das fontes de calcário utilizadas, suas doses utilizadas para o experimento e composições químicas estão reproduzidas na Tabela 2.</w:t>
      </w:r>
    </w:p>
    <w:p w14:paraId="44A8F430" w14:textId="77777777" w:rsidR="004E07CA" w:rsidRDefault="004E07CA" w:rsidP="004E07CA">
      <w:pPr>
        <w:ind w:firstLine="708"/>
      </w:pPr>
    </w:p>
    <w:p w14:paraId="18A0C1C0" w14:textId="77777777" w:rsidR="004F2620" w:rsidRDefault="004F2620" w:rsidP="004E07CA">
      <w:pPr>
        <w:ind w:firstLine="708"/>
      </w:pPr>
    </w:p>
    <w:p w14:paraId="20AC9FFE" w14:textId="77777777" w:rsidR="004E07CA" w:rsidRDefault="004E07CA" w:rsidP="004E07CA">
      <w:pPr>
        <w:pStyle w:val="Ttulo2"/>
      </w:pPr>
      <w:bookmarkStart w:id="11" w:name="_Toc487108326"/>
      <w:r>
        <w:t>Tabela 2. Caracterização das fontes de calcário utilizadas.</w:t>
      </w:r>
      <w:bookmarkEnd w:id="1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4E07CA" w14:paraId="23D55ADA" w14:textId="77777777" w:rsidTr="00A313BE">
        <w:tc>
          <w:tcPr>
            <w:tcW w:w="90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W w:w="789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316"/>
              <w:gridCol w:w="1335"/>
              <w:gridCol w:w="1335"/>
              <w:gridCol w:w="1335"/>
              <w:gridCol w:w="1335"/>
            </w:tblGrid>
            <w:tr w:rsidR="004E07CA" w:rsidRPr="004E07CA" w14:paraId="0433AAEC" w14:textId="77777777" w:rsidTr="004E07CA">
              <w:trPr>
                <w:trHeight w:val="320"/>
                <w:jc w:val="center"/>
              </w:trPr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2A2DA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Calcário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E34ED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Quantidade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136A0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spellStart"/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CaO</w:t>
                  </w:r>
                  <w:proofErr w:type="spellEnd"/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95963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spellStart"/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MgO</w:t>
                  </w:r>
                  <w:proofErr w:type="spellEnd"/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70CD2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PRNT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3B6AC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PN </w:t>
                  </w:r>
                </w:p>
              </w:tc>
            </w:tr>
            <w:tr w:rsidR="004E07CA" w:rsidRPr="004E07CA" w14:paraId="2D8E7448" w14:textId="77777777" w:rsidTr="004E07CA">
              <w:trPr>
                <w:trHeight w:val="340"/>
                <w:jc w:val="center"/>
              </w:trPr>
              <w:tc>
                <w:tcPr>
                  <w:tcW w:w="131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D30C952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3A8215C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414A6B4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74C30E3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0FC6B13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EA4A659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4E07CA" w:rsidRPr="004E07CA" w14:paraId="7D7AF12A" w14:textId="77777777" w:rsidTr="004E07CA">
              <w:trPr>
                <w:trHeight w:val="32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FC0BA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17FDA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(</w:t>
                  </w:r>
                  <w:proofErr w:type="spellStart"/>
                  <w:proofErr w:type="gramStart"/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ton</w:t>
                  </w:r>
                  <w:proofErr w:type="spellEnd"/>
                  <w:proofErr w:type="gramEnd"/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/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ha)</w:t>
                  </w:r>
                </w:p>
              </w:tc>
              <w:tc>
                <w:tcPr>
                  <w:tcW w:w="52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2B7B1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0"/>
                  </w:tblGrid>
                  <w:tr w:rsidR="004E07CA" w:rsidRPr="004E07CA" w14:paraId="481C9417" w14:textId="77777777">
                    <w:trPr>
                      <w:trHeight w:val="320"/>
                      <w:tblCellSpacing w:w="0" w:type="dxa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FDF7EA" w14:textId="77777777" w:rsidR="004E07CA" w:rsidRPr="004E07CA" w:rsidRDefault="004E07CA" w:rsidP="004E07CA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4E07CA"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0" locked="0" layoutInCell="1" allowOverlap="1" wp14:anchorId="2BF30865" wp14:editId="2595E056">
                                  <wp:simplePos x="0" y="0"/>
                                  <wp:positionH relativeFrom="column">
                                    <wp:posOffset>1754505</wp:posOffset>
                                  </wp:positionH>
                                  <wp:positionV relativeFrom="paragraph">
                                    <wp:posOffset>92075</wp:posOffset>
                                  </wp:positionV>
                                  <wp:extent cx="1498600" cy="12700"/>
                                  <wp:effectExtent l="0" t="0" r="25400" b="38100"/>
                                  <wp:wrapNone/>
                                  <wp:docPr id="7" name="Conector Reto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4859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7B3046EB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7.25pt" to="256.1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OB8sBAAD+AwAADgAAAGRycy9lMm9Eb2MueG1srFPBbtswDL0P2D8Iui92im1tjTg9pOguwxZ0&#10;7QeoMhULkERBUmPn70fJiVOsA4YVvcimxPfI90StbkZr2B5C1OhavlzUnIGT2Gm3a/njw92nK85i&#10;Eq4TBh20/ACR36w/flgNvoEL7NF0EBiRuNgMvuV9Sr6pqih7sCIu0IOjQ4XBikRh2FVdEAOxW1Nd&#10;1PXXasDQ+YASYqTd2+mQrwu/UiDTT6UiJGZaTr2lsoayPuW1Wq9EswvC91oe2xBv6MIK7ajoTHUr&#10;kmDPQb+isloGjKjSQqKtUCktoWggNcv6DzW/euGhaCFzop9tiu9HK3/st4HpruWXnDlh6Yo2dFEy&#10;YWD3kJBdZosGHxvK3LhtOEbRb0PWO6pg85eUsLHYephthTExSZvLz1dfrmtyX57OqjPQh5i+AVqW&#10;f1putMuKRSP232OiYpR6SsnbxuU1otHdnTamBHlWYGMC2wu65TQuc8uEe5FFUUZWWcjUevlLBwMT&#10;6z0ociE3W6qX+TtzCinBpROvcZSdYYo6mIH1v4HH/AyFMpv/A54RpTK6NIOtdhj+Vv1shZryTw5M&#10;urMFT9gdyqUWa2jIinPHB5Gn+GVc4Odnu/4NAAD//wMAUEsDBBQABgAIAAAAIQDw2+RE3wAAAAkB&#10;AAAPAAAAZHJzL2Rvd25yZXYueG1sTI9BS8NAEIXvgv9hGaEXsZumJkrMpkiglx4EGyket9lpEszO&#10;huy2Sf+948ke572PN+/lm9n24oKj7xwpWC0jEEi1Mx01Cr6q7dMrCB80Gd07QgVX9LAp7u9ynRk3&#10;0Sde9qERHEI+0wraEIZMSl+3aLVfugGJvZMbrQ58jo00o5443PYyjqJUWt0Rf2j1gGWL9c/+bBV8&#10;N4/r7aGiairDxylt5+thl5RKLR7m9zcQAefwD8Nffa4OBXc6ujMZL3oF8Uu6ZpSN5wQEA8kqZuHI&#10;QpqALHJ5u6D4BQAA//8DAFBLAQItABQABgAIAAAAIQDkmcPA+wAAAOEBAAATAAAAAAAAAAAAAAAA&#10;AAAAAABbQ29udGVudF9UeXBlc10ueG1sUEsBAi0AFAAGAAgAAAAhACOyauHXAAAAlAEAAAsAAAAA&#10;AAAAAAAAAAAALAEAAF9yZWxzLy5yZWxzUEsBAi0AFAAGAAgAAAAhAH7jzgfLAQAA/gMAAA4AAAAA&#10;AAAAAAAAAAAALAIAAGRycy9lMm9Eb2MueG1sUEsBAi0AFAAGAAgAAAAhAPDb5ETfAAAACQEAAA8A&#10;AAAAAAAAAAAAAAAAIwQAAGRycy9kb3ducmV2LnhtbFBLBQYAAAAABAAEAPMAAAAvBQAAAAA=&#10;" strokecolor="black [3213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4E07CA"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 wp14:anchorId="01CC0E53" wp14:editId="0C4E39C8">
                                  <wp:simplePos x="0" y="0"/>
                                  <wp:positionH relativeFrom="column">
                                    <wp:posOffset>78105</wp:posOffset>
                                  </wp:positionH>
                                  <wp:positionV relativeFrom="paragraph">
                                    <wp:posOffset>92075</wp:posOffset>
                                  </wp:positionV>
                                  <wp:extent cx="1435100" cy="12700"/>
                                  <wp:effectExtent l="0" t="0" r="38100" b="38100"/>
                                  <wp:wrapNone/>
                                  <wp:docPr id="3" name="Conector Reto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4287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E978720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7.25pt" to="119.1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bDHswBAAD+AwAADgAAAGRycy9lMm9Eb2MueG1srFPLbtswELwX6D8QvNeSnT4CwXIODtJL0Bpp&#10;8gEMtbQIkFyCZC3577ukbDloAhQteqG05M7sznC5vhmtYQcIUaNr+XJRcwZOYqfdvuVPj3cfrjmL&#10;SbhOGHTQ8iNEfrN5/249+AZW2KPpIDAicbEZfMv7lHxTVVH2YEVcoAdHhwqDFYnCsK+6IAZit6Za&#10;1fXnasDQ+YASYqTd2+mQbwq/UiDTd6UiJGZaTr2lsoayPue12qxFsw/C91qe2hD/0IUV2lHRmepW&#10;JMF+Bv2KymoZMKJKC4m2QqW0hKKB1Czr39T86IWHooXMiX62Kf4/WvntsAtMdy2/4swJS1e0pYuS&#10;CQN7gITsKls0+NhQ5tbtwimKfhey3lEFm7+khI3F1uNsK4yJSdpcflxdf/lE7svzWXUB+hDTV0DL&#10;8k/LjXZZsWjE4T4mKkap55S8bVxeIxrd3WljSpBnBbYmsIOgW07jMrdMuBdZFGVklYVMrZe/dDQw&#10;sT6AIhdys6V6mb8Lp5ASXDrzGkfZGaaogxlY/xl4ys9QKLP5N+AZUSqjSzPYaofhreoXK9SUf3Zg&#10;0p0teMbuWC61WENDVpw7PYg8xS/jAr88280vAAAA//8DAFBLAwQUAAYACAAAACEAAoYIJtwAAAAI&#10;AQAADwAAAGRycy9kb3ducmV2LnhtbExPTWuDQBC9F/oflgn0Upq1WiVY11CEXHooNJbQ48adqMSd&#10;FXcTzb/v9NSehvfBm/eK7WIHccXJ944UPK8jEEiNMz21Cr7q3dMGhA+ajB4coYIbetiW93eFzo2b&#10;6ROv+9AKDiGfawVdCGMupW86tNqv3YjE2slNVgeGUyvNpGcOt4OMoyiTVvfEHzo9YtVhc95frILv&#10;9jHZHWqq5yp8nLJuuR3e00qph9Xy9goi4BL+zPBbn6tDyZ2O7kLGi4FxnLCT70sKgvU42TBxZCJL&#10;QZaF/D+g/AEAAP//AwBQSwECLQAUAAYACAAAACEA5JnDwPsAAADhAQAAEwAAAAAAAAAAAAAAAAAA&#10;AAAAW0NvbnRlbnRfVHlwZXNdLnhtbFBLAQItABQABgAIAAAAIQAjsmrh1wAAAJQBAAALAAAAAAAA&#10;AAAAAAAAACwBAABfcmVscy8ucmVsc1BLAQItABQABgAIAAAAIQC/xsMezAEAAP4DAAAOAAAAAAAA&#10;AAAAAAAAACwCAABkcnMvZTJvRG9jLnhtbFBLAQItABQABgAIAAAAIQAChggm3AAAAAgBAAAPAAAA&#10;AAAAAAAAAAAAACQEAABkcnMvZG93bnJldi54bWxQSwUGAAAAAAQABADzAAAALQUAAAAA&#10;" strokecolor="black [3213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4E07CA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%</w:t>
                        </w:r>
                      </w:p>
                    </w:tc>
                  </w:tr>
                </w:tbl>
                <w:p w14:paraId="0B6A0628" w14:textId="77777777" w:rsidR="004E07CA" w:rsidRPr="004E07CA" w:rsidRDefault="004E07CA" w:rsidP="004E07CA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4E07CA" w:rsidRPr="004E07CA" w14:paraId="33BEC905" w14:textId="77777777" w:rsidTr="004E07CA">
              <w:trPr>
                <w:trHeight w:val="32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2C0C8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spellStart"/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Dolomítico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AA17B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1CA04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FEF98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762AD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15320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99</w:t>
                  </w:r>
                </w:p>
              </w:tc>
            </w:tr>
            <w:tr w:rsidR="004E07CA" w:rsidRPr="004E07CA" w14:paraId="35A50399" w14:textId="77777777" w:rsidTr="004E07CA">
              <w:trPr>
                <w:trHeight w:val="32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288DA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Cal 500KG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8EA56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2C898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669E0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89D8E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175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108A2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183</w:t>
                  </w:r>
                </w:p>
              </w:tc>
            </w:tr>
            <w:tr w:rsidR="004E07CA" w:rsidRPr="004E07CA" w14:paraId="6F7E9427" w14:textId="77777777" w:rsidTr="004E07CA">
              <w:trPr>
                <w:trHeight w:val="34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7C8C5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Cal 1TON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DEC47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0,5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E6144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6691D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B373B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175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2A707" w14:textId="77777777" w:rsidR="004E07CA" w:rsidRPr="004E07CA" w:rsidRDefault="004E07CA" w:rsidP="004E07CA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E07C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183</w:t>
                  </w:r>
                </w:p>
              </w:tc>
            </w:tr>
          </w:tbl>
          <w:p w14:paraId="6606897D" w14:textId="77777777" w:rsidR="004E07CA" w:rsidRDefault="004E07CA" w:rsidP="004E07CA"/>
        </w:tc>
      </w:tr>
    </w:tbl>
    <w:p w14:paraId="482AE430" w14:textId="77777777" w:rsidR="00D50C84" w:rsidRDefault="00D50C84" w:rsidP="004E07CA"/>
    <w:p w14:paraId="6DE813E4" w14:textId="77777777" w:rsidR="004F2620" w:rsidRPr="004E07CA" w:rsidRDefault="004F2620" w:rsidP="004E07CA"/>
    <w:p w14:paraId="03ECF841" w14:textId="1A2F4D9E" w:rsidR="004E07CA" w:rsidRDefault="004E07CA" w:rsidP="004E07CA">
      <w:pPr>
        <w:ind w:firstLine="708"/>
      </w:pPr>
      <w:r>
        <w:t xml:space="preserve">Foi utilizado o delineamento experimental em faixas em esquema fatorial 2 </w:t>
      </w:r>
      <w:proofErr w:type="gramStart"/>
      <w:r>
        <w:t>x</w:t>
      </w:r>
      <w:proofErr w:type="gramEnd"/>
      <w:r>
        <w:t xml:space="preserve"> 3 x 3 com cinco repetições. O primeiro fator corresponde aos dois loc</w:t>
      </w:r>
      <w:r w:rsidR="00424EA0">
        <w:t>ais estudados, o segundo as duas</w:t>
      </w:r>
      <w:r>
        <w:t xml:space="preserve"> fontes de calcário utilizadas</w:t>
      </w:r>
      <w:r w:rsidR="00424EA0">
        <w:t xml:space="preserve"> e duas doses da ultima fonte</w:t>
      </w:r>
      <w:r>
        <w:t xml:space="preserve"> e o ultimo as três datas de coleta (0, 20 e 40 dias após a aplicação).</w:t>
      </w:r>
    </w:p>
    <w:p w14:paraId="70A013F7" w14:textId="356D69DA" w:rsidR="00D50C84" w:rsidRDefault="004E07CA" w:rsidP="00B33836">
      <w:pPr>
        <w:ind w:firstLine="708"/>
      </w:pPr>
      <w:r>
        <w:t xml:space="preserve">Em cada local, cada tratamento, foi aplicado em uma faixa com 100 metros de comprimento e 25 metros de largura. Dentro de cada faixa, a cada 20 metros, foi marcado, com o auxílio de um GPS, um </w:t>
      </w:r>
      <w:r w:rsidR="00910D79">
        <w:t>ponto fixo para amostragem</w:t>
      </w:r>
      <w:r>
        <w:t xml:space="preserve"> ao longo do tempo. Este ponto foi considerado como uma repetição, totalizando por tratamento, em cada áre</w:t>
      </w:r>
      <w:r w:rsidR="00B33836">
        <w:t>a, cinco repetições</w:t>
      </w:r>
      <w:r w:rsidR="00D50C84">
        <w:t>.</w:t>
      </w:r>
    </w:p>
    <w:p w14:paraId="65330051" w14:textId="52DEBAF2" w:rsidR="00D50C84" w:rsidRDefault="004E07CA" w:rsidP="00D50C84">
      <w:pPr>
        <w:ind w:firstLine="708"/>
      </w:pPr>
      <w:r w:rsidRPr="004E07CA">
        <w:t xml:space="preserve">Durante o mês de agosto, os corretivos foram distribuídos na superfície da palhada sobre o solo, poucos dias após a dessecação do </w:t>
      </w:r>
      <w:proofErr w:type="spellStart"/>
      <w:r w:rsidRPr="004E07CA">
        <w:t>azevém</w:t>
      </w:r>
      <w:proofErr w:type="spellEnd"/>
      <w:r w:rsidRPr="004E07CA">
        <w:t xml:space="preserve"> presente na área, sem incorporação. O procedimento foi reproduzido no outro pivô central utilizado, formando o </w:t>
      </w:r>
      <w:r w:rsidR="00D50C84">
        <w:t xml:space="preserve">esquema </w:t>
      </w:r>
      <w:r w:rsidR="00B33836">
        <w:t>representado na Figura 2</w:t>
      </w:r>
      <w:r w:rsidRPr="004E07CA">
        <w:t>.</w:t>
      </w:r>
    </w:p>
    <w:p w14:paraId="44F3B350" w14:textId="77777777" w:rsidR="007A25FE" w:rsidRDefault="007A25FE" w:rsidP="00D50C84">
      <w:pPr>
        <w:ind w:firstLine="708"/>
      </w:pPr>
    </w:p>
    <w:p w14:paraId="0CC48709" w14:textId="0A7F99DA" w:rsidR="00D50C84" w:rsidRDefault="00B33836" w:rsidP="00D50C84">
      <w:pPr>
        <w:pStyle w:val="Ttulo2"/>
      </w:pPr>
      <w:bookmarkStart w:id="12" w:name="_Toc487108327"/>
      <w:r>
        <w:lastRenderedPageBreak/>
        <w:t>Figura 2</w:t>
      </w:r>
      <w:r w:rsidR="00D50C84">
        <w:t>. Esquema do delineamento experimental.</w:t>
      </w:r>
      <w:bookmarkEnd w:id="12"/>
      <w:r w:rsidR="00D50C84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BE3D53" w14:paraId="1279349B" w14:textId="77777777" w:rsidTr="007305FE">
        <w:tc>
          <w:tcPr>
            <w:tcW w:w="9055" w:type="dxa"/>
          </w:tcPr>
          <w:p w14:paraId="7A7C6D47" w14:textId="0E783DE7" w:rsidR="00BE3D53" w:rsidRDefault="007305FE" w:rsidP="007305FE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5EB7287" wp14:editId="506AB52C">
                  <wp:extent cx="5756275" cy="2853558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Tela 2017-06-25 às 20.58.26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3"/>
                          <a:stretch/>
                        </pic:blipFill>
                        <pic:spPr bwMode="auto">
                          <a:xfrm>
                            <a:off x="0" y="0"/>
                            <a:ext cx="5756275" cy="2853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2FF55" w14:textId="77777777" w:rsidR="007305FE" w:rsidRDefault="007305FE" w:rsidP="00BE3D53">
      <w:pPr>
        <w:pStyle w:val="SemEspaamento"/>
      </w:pPr>
    </w:p>
    <w:p w14:paraId="5181B404" w14:textId="4DDE8023" w:rsidR="00BE3D53" w:rsidRDefault="00B33836" w:rsidP="00BE3D53">
      <w:pPr>
        <w:pStyle w:val="SemEspaamento"/>
      </w:pPr>
      <w:r>
        <w:t>Figura 2</w:t>
      </w:r>
      <w:r w:rsidR="00BE3D53">
        <w:t xml:space="preserve">. A – Fonte de calcário </w:t>
      </w:r>
      <w:proofErr w:type="spellStart"/>
      <w:r w:rsidR="00BE3D53">
        <w:t>dolomítico</w:t>
      </w:r>
      <w:proofErr w:type="spellEnd"/>
      <w:r w:rsidR="00190CB6">
        <w:t>; B – Fonte de calcário Cal Virgem em 50</w:t>
      </w:r>
      <w:r w:rsidR="0081402E">
        <w:t xml:space="preserve"> </w:t>
      </w:r>
      <w:r w:rsidR="00190CB6">
        <w:t>% da dose recomendada; C – Fonte de calcário Cal Virgem em 100</w:t>
      </w:r>
      <w:r w:rsidR="0081402E">
        <w:t xml:space="preserve"> </w:t>
      </w:r>
      <w:r w:rsidR="00190CB6">
        <w:t xml:space="preserve">% da dose recomendada. </w:t>
      </w:r>
      <w:r w:rsidR="00BE3D53">
        <w:t xml:space="preserve"> </w:t>
      </w:r>
    </w:p>
    <w:p w14:paraId="12D99982" w14:textId="16E393C8" w:rsidR="004E07CA" w:rsidRDefault="004E07CA" w:rsidP="004E07CA">
      <w:pPr>
        <w:ind w:firstLine="708"/>
      </w:pPr>
    </w:p>
    <w:p w14:paraId="40E2D9BB" w14:textId="77777777" w:rsidR="00B74508" w:rsidRDefault="00B6426E" w:rsidP="00B6426E">
      <w:pPr>
        <w:pStyle w:val="Subttulo"/>
      </w:pPr>
      <w:bookmarkStart w:id="13" w:name="_Toc487108328"/>
      <w:r>
        <w:t>3.4) Condução do experimento</w:t>
      </w:r>
      <w:bookmarkEnd w:id="13"/>
    </w:p>
    <w:p w14:paraId="59C7BC0A" w14:textId="77777777" w:rsidR="00B6426E" w:rsidRDefault="00B6426E" w:rsidP="00B6426E"/>
    <w:p w14:paraId="5E85B50E" w14:textId="77777777" w:rsidR="00B6426E" w:rsidRPr="00B6426E" w:rsidRDefault="00B6426E" w:rsidP="00B6426E"/>
    <w:p w14:paraId="236AD723" w14:textId="7F987BA4" w:rsidR="00B6426E" w:rsidRDefault="00B6426E" w:rsidP="0081402E">
      <w:pPr>
        <w:ind w:firstLine="708"/>
      </w:pPr>
      <w:r>
        <w:t xml:space="preserve">Os pivôs utilizados têm um histórico de manejo sob Sistema de Plantio Direito há mais de sete anos, sendo assim um sistema já consolidado. Assim, para simular a aplicação em uma área de produção de milho semente em Sistema de Plantio Direto, no qual não houve incorporação do calcário, a calagem foi feita de forma superficial sem incorporação. A irrigação foi realizada pelos pivôs de acordo com as necessidades hídricas do solo. </w:t>
      </w:r>
      <w:r w:rsidR="0081402E">
        <w:t xml:space="preserve"> </w:t>
      </w:r>
      <w:r>
        <w:t>Após 20 e 40 dias feita a calagem, foram</w:t>
      </w:r>
      <w:r w:rsidR="0081402E">
        <w:t xml:space="preserve"> consultados os 5 pontos de GPS e a</w:t>
      </w:r>
      <w:r>
        <w:t xml:space="preserve">cerca de 30 cm de cada ponto foram retiradas 2 amostras simples do solo, na camada 0 a 10 cm, para a composição das amostras compostas. Essas amostras foram analisadas individualmente pelo laboratório da CCGL quanto ao pH e a saturação por bases, repetindo o método de análise utilizado pelas amostras iniciais. </w:t>
      </w:r>
    </w:p>
    <w:p w14:paraId="54CC2923" w14:textId="77777777" w:rsidR="00B6426E" w:rsidRDefault="00B6426E" w:rsidP="00B6426E"/>
    <w:p w14:paraId="28B53213" w14:textId="77777777" w:rsidR="007305FE" w:rsidRDefault="007305FE" w:rsidP="00B6426E"/>
    <w:p w14:paraId="3753123C" w14:textId="77777777" w:rsidR="00B6426E" w:rsidRDefault="00B6426E" w:rsidP="00B6426E">
      <w:pPr>
        <w:pStyle w:val="Subttulo"/>
      </w:pPr>
      <w:bookmarkStart w:id="14" w:name="_Toc487108329"/>
      <w:r>
        <w:t>3.5) Análise de dados</w:t>
      </w:r>
      <w:bookmarkEnd w:id="14"/>
    </w:p>
    <w:p w14:paraId="08EF5E91" w14:textId="77777777" w:rsidR="00B6426E" w:rsidRDefault="00B6426E" w:rsidP="00B6426E"/>
    <w:p w14:paraId="620BA130" w14:textId="77777777" w:rsidR="00B6426E" w:rsidRDefault="00B6426E" w:rsidP="00B6426E"/>
    <w:p w14:paraId="73339756" w14:textId="67AFFD1B" w:rsidR="00B6426E" w:rsidRDefault="00B6426E" w:rsidP="00B6426E">
      <w:r>
        <w:lastRenderedPageBreak/>
        <w:tab/>
        <w:t>Os dados obtidos das análises das amostras compostas dos tratamentos foram armazenados em planilhas. Foi realizada a análise de variância, considerand</w:t>
      </w:r>
      <w:r w:rsidR="0081402E">
        <w:t>o</w:t>
      </w:r>
      <w:r w:rsidR="00BC7517">
        <w:t xml:space="preserve"> o delineamento experimental</w:t>
      </w:r>
      <w:r>
        <w:t xml:space="preserve"> inteiramente </w:t>
      </w:r>
      <w:proofErr w:type="spellStart"/>
      <w:r>
        <w:t>casualizado</w:t>
      </w:r>
      <w:proofErr w:type="spellEnd"/>
      <w:r>
        <w:t xml:space="preserve"> (DIC), para as variáveis pH e saturação por bases avaliando</w:t>
      </w:r>
      <w:r w:rsidR="00640559">
        <w:t>-se</w:t>
      </w:r>
      <w:r>
        <w:t xml:space="preserve"> o efeito das interações entre tratamentos, tempos e locais. </w:t>
      </w:r>
    </w:p>
    <w:p w14:paraId="1D41A379" w14:textId="4E13DBF3" w:rsidR="00B6426E" w:rsidRDefault="00B6426E" w:rsidP="00B6426E">
      <w:r>
        <w:tab/>
        <w:t>No</w:t>
      </w:r>
      <w:r w:rsidR="0081402E">
        <w:t>s casos em que a ANOVA,</w:t>
      </w:r>
      <w:r>
        <w:t xml:space="preserve"> indicou a existência de diferenças significativas entre os locais, foi realizado o teste t a 5% para a comparação das médias dos parâmetros por local. E nos casos em que a ANOVA indicou a existência de diferenças significativas entre os dias e entre os tratamentos foi realizado o teste </w:t>
      </w:r>
      <w:proofErr w:type="spellStart"/>
      <w:r>
        <w:t>Tukey</w:t>
      </w:r>
      <w:proofErr w:type="spellEnd"/>
      <w:r>
        <w:t xml:space="preserve"> a 5% para a comparação das médias dos parâmetros pelos dias.  As análises foram realizadas no </w:t>
      </w:r>
      <w:r w:rsidRPr="00B6426E">
        <w:rPr>
          <w:i/>
        </w:rPr>
        <w:t>software</w:t>
      </w:r>
      <w:r>
        <w:t xml:space="preserve"> SAS.</w:t>
      </w:r>
    </w:p>
    <w:p w14:paraId="7A291BB7" w14:textId="77777777" w:rsidR="00B6426E" w:rsidRPr="00B6426E" w:rsidRDefault="00B6426E" w:rsidP="00B6426E"/>
    <w:p w14:paraId="1619359E" w14:textId="77777777" w:rsidR="00B6426E" w:rsidRDefault="00B6426E" w:rsidP="002969B5">
      <w:pPr>
        <w:pStyle w:val="Ttulo2"/>
      </w:pPr>
      <w:r>
        <w:br w:type="page"/>
      </w:r>
    </w:p>
    <w:p w14:paraId="602AA4DF" w14:textId="77777777" w:rsidR="00B6426E" w:rsidRDefault="00B6426E" w:rsidP="00B6426E">
      <w:pPr>
        <w:pStyle w:val="Ttulo1"/>
        <w:numPr>
          <w:ilvl w:val="0"/>
          <w:numId w:val="2"/>
        </w:numPr>
      </w:pPr>
      <w:bookmarkStart w:id="15" w:name="_Toc487108330"/>
      <w:r>
        <w:lastRenderedPageBreak/>
        <w:t>RESULTADOS E DISCUSSÃO</w:t>
      </w:r>
      <w:bookmarkEnd w:id="15"/>
    </w:p>
    <w:p w14:paraId="5F03DADF" w14:textId="77777777" w:rsidR="002969B5" w:rsidRDefault="002969B5" w:rsidP="002969B5"/>
    <w:p w14:paraId="31F09160" w14:textId="77777777" w:rsidR="002969B5" w:rsidRPr="002969B5" w:rsidRDefault="002969B5" w:rsidP="002969B5"/>
    <w:p w14:paraId="7505ED15" w14:textId="77777777" w:rsidR="002969B5" w:rsidRDefault="002969B5" w:rsidP="002969B5">
      <w:pPr>
        <w:ind w:firstLine="360"/>
      </w:pPr>
      <w:r>
        <w:t>A análise de variância indicou diferença significativa para as médias de valores de pH e saturação por bases em relação aos dias e locais. Não houve diferenças entre os tratamentos. Apenas a interação tratamento x local foi significativa (Tabela 3).</w:t>
      </w:r>
    </w:p>
    <w:p w14:paraId="7F653D54" w14:textId="77777777" w:rsidR="002969B5" w:rsidRDefault="002969B5" w:rsidP="002969B5"/>
    <w:p w14:paraId="69EEC5B6" w14:textId="2559E95F" w:rsidR="002969B5" w:rsidRDefault="002969B5" w:rsidP="002969B5">
      <w:pPr>
        <w:pStyle w:val="Ttulo2"/>
      </w:pPr>
      <w:bookmarkStart w:id="16" w:name="_Toc487108331"/>
      <w:r>
        <w:t>Tabela 3. ANOVA</w:t>
      </w:r>
      <w:bookmarkEnd w:id="16"/>
      <w: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969B5" w14:paraId="06FC6AB6" w14:textId="77777777" w:rsidTr="00A313BE">
        <w:trPr>
          <w:jc w:val="center"/>
        </w:trPr>
        <w:tc>
          <w:tcPr>
            <w:tcW w:w="9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1300"/>
              <w:gridCol w:w="1300"/>
              <w:gridCol w:w="1300"/>
            </w:tblGrid>
            <w:tr w:rsidR="002969B5" w:rsidRPr="002969B5" w14:paraId="71D4523B" w14:textId="77777777" w:rsidTr="002969B5">
              <w:trPr>
                <w:trHeight w:val="340"/>
              </w:trPr>
              <w:tc>
                <w:tcPr>
                  <w:tcW w:w="53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23BD40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Fonte de variação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1FE377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G.L.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6344F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proofErr w:type="gramStart"/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pH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F179A3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lang w:eastAsia="pt-BR"/>
                    </w:rPr>
                    <w:t>V%</w:t>
                  </w:r>
                </w:p>
              </w:tc>
            </w:tr>
            <w:tr w:rsidR="002969B5" w:rsidRPr="002969B5" w14:paraId="25951C71" w14:textId="77777777" w:rsidTr="002969B5">
              <w:trPr>
                <w:trHeight w:val="340"/>
              </w:trPr>
              <w:tc>
                <w:tcPr>
                  <w:tcW w:w="53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9639079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BAA79A6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09D3B5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F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BB114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F</w:t>
                  </w:r>
                </w:p>
              </w:tc>
            </w:tr>
            <w:tr w:rsidR="002969B5" w:rsidRPr="002969B5" w14:paraId="763E5911" w14:textId="77777777" w:rsidTr="002969B5">
              <w:trPr>
                <w:trHeight w:val="32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0DC29" w14:textId="607F206A" w:rsidR="002969B5" w:rsidRPr="002969B5" w:rsidRDefault="00D10C3B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lang w:eastAsia="pt-BR"/>
                    </w:rPr>
                    <w:t>Fontes de calcário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BB0B2D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8A7F9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2,31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0C124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1,64</w:t>
                  </w:r>
                </w:p>
              </w:tc>
            </w:tr>
            <w:tr w:rsidR="002969B5" w:rsidRPr="002969B5" w14:paraId="0623B31F" w14:textId="77777777" w:rsidTr="002969B5">
              <w:trPr>
                <w:trHeight w:val="32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EBDCF5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Dias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87F8B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91B77D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91,57*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38EE88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36,61*</w:t>
                  </w:r>
                </w:p>
              </w:tc>
            </w:tr>
            <w:tr w:rsidR="002969B5" w:rsidRPr="002969B5" w14:paraId="4C5FD8FD" w14:textId="77777777" w:rsidTr="002969B5">
              <w:trPr>
                <w:trHeight w:val="32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9B6C54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Local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97919B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9BEE7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33,49*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DD645B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38,96*</w:t>
                  </w:r>
                </w:p>
              </w:tc>
            </w:tr>
            <w:tr w:rsidR="002969B5" w:rsidRPr="002969B5" w14:paraId="5CF17BD4" w14:textId="77777777" w:rsidTr="002969B5">
              <w:trPr>
                <w:trHeight w:val="32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144B43" w14:textId="50BAC396" w:rsidR="002969B5" w:rsidRPr="002969B5" w:rsidRDefault="00D10C3B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lang w:eastAsia="pt-BR"/>
                    </w:rPr>
                    <w:t>Fontes de calcário</w:t>
                  </w:r>
                  <w:r w:rsidR="002969B5" w:rsidRPr="002969B5">
                    <w:rPr>
                      <w:rFonts w:eastAsia="Times New Roman" w:cs="Arial"/>
                      <w:color w:val="000000"/>
                      <w:lang w:eastAsia="pt-BR"/>
                    </w:rPr>
                    <w:t xml:space="preserve"> x Dias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980BA6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3D5FF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0,23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54052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0,53</w:t>
                  </w:r>
                </w:p>
              </w:tc>
            </w:tr>
            <w:tr w:rsidR="002969B5" w:rsidRPr="002969B5" w14:paraId="2CB58693" w14:textId="77777777" w:rsidTr="002969B5">
              <w:trPr>
                <w:trHeight w:val="32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285F8A" w14:textId="12F948D0" w:rsidR="002969B5" w:rsidRPr="002969B5" w:rsidRDefault="00D10C3B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lang w:eastAsia="pt-BR"/>
                    </w:rPr>
                    <w:t>Fontes de calcário</w:t>
                  </w:r>
                  <w:r w:rsidR="002969B5" w:rsidRPr="002969B5">
                    <w:rPr>
                      <w:rFonts w:eastAsia="Times New Roman" w:cs="Arial"/>
                      <w:color w:val="000000"/>
                      <w:lang w:eastAsia="pt-BR"/>
                    </w:rPr>
                    <w:t xml:space="preserve"> x Local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E5FDB6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2FB04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5,39*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C8BB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5,76*</w:t>
                  </w:r>
                </w:p>
              </w:tc>
            </w:tr>
            <w:tr w:rsidR="002969B5" w:rsidRPr="002969B5" w14:paraId="194FE0D0" w14:textId="77777777" w:rsidTr="002969B5">
              <w:trPr>
                <w:trHeight w:val="32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F88AAC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 xml:space="preserve">Dias </w:t>
                  </w:r>
                  <w:proofErr w:type="gramStart"/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x</w:t>
                  </w:r>
                  <w:proofErr w:type="gramEnd"/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 xml:space="preserve"> Local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CB716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88F3A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1,31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B5B72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0,27</w:t>
                  </w:r>
                </w:p>
              </w:tc>
            </w:tr>
            <w:tr w:rsidR="002969B5" w:rsidRPr="002969B5" w14:paraId="2A3B62F9" w14:textId="77777777" w:rsidTr="001340F0">
              <w:trPr>
                <w:trHeight w:val="353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703F1D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 xml:space="preserve">Tratamento x </w:t>
                  </w:r>
                  <w:proofErr w:type="gramStart"/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Dias  x</w:t>
                  </w:r>
                  <w:proofErr w:type="gramEnd"/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 xml:space="preserve"> Local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32142C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3CD79E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1,37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289726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1,36</w:t>
                  </w:r>
                </w:p>
              </w:tc>
            </w:tr>
            <w:tr w:rsidR="002969B5" w:rsidRPr="002969B5" w14:paraId="634E5957" w14:textId="77777777" w:rsidTr="002969B5">
              <w:trPr>
                <w:trHeight w:val="34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50BFF3" w14:textId="77777777" w:rsidR="002969B5" w:rsidRPr="002969B5" w:rsidRDefault="002969B5" w:rsidP="002969B5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Resíduo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0B0C9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EACAE3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764553" w14:textId="77777777" w:rsidR="002969B5" w:rsidRPr="002969B5" w:rsidRDefault="002969B5" w:rsidP="002969B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lang w:eastAsia="pt-BR"/>
                    </w:rPr>
                  </w:pPr>
                  <w:r w:rsidRPr="002969B5">
                    <w:rPr>
                      <w:rFonts w:eastAsia="Times New Roman" w:cs="Arial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4FC656CA" w14:textId="77777777" w:rsidR="002969B5" w:rsidRDefault="002969B5" w:rsidP="002969B5"/>
        </w:tc>
      </w:tr>
    </w:tbl>
    <w:p w14:paraId="3F619536" w14:textId="0901CE74" w:rsidR="00D05B18" w:rsidRDefault="00D05B18" w:rsidP="002969B5">
      <w:pPr>
        <w:pStyle w:val="SemEspaamento"/>
      </w:pPr>
      <w:r>
        <w:t>ANOVA com fatorial para as variáveis pH e saturação por bases (V%) 0, 20 e 40 dias após a aplicação, por cobertura, de três tipos de calcários nos municípios de Cruz Alta e Santo Augusto, RS.</w:t>
      </w:r>
    </w:p>
    <w:p w14:paraId="1C968E1A" w14:textId="77777777" w:rsidR="002969B5" w:rsidRPr="002969B5" w:rsidRDefault="002969B5" w:rsidP="002969B5">
      <w:pPr>
        <w:pStyle w:val="SemEspaamento"/>
      </w:pPr>
      <w:r>
        <w:t>*- Significativo a p &lt; 0,05</w:t>
      </w:r>
    </w:p>
    <w:p w14:paraId="0B3FBEB0" w14:textId="0DBF350D" w:rsidR="00EA54BF" w:rsidRPr="00722ACE" w:rsidRDefault="00EA54BF" w:rsidP="006760B9">
      <w:pPr>
        <w:rPr>
          <w:rFonts w:eastAsia="Times New Roman"/>
          <w:color w:val="000000" w:themeColor="text1"/>
        </w:rPr>
      </w:pPr>
    </w:p>
    <w:p w14:paraId="70FB33F3" w14:textId="7F300EC3" w:rsidR="007D01FD" w:rsidRDefault="00355BAF" w:rsidP="00A032EB">
      <w:pPr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Após 20 dias feita a</w:t>
      </w:r>
      <w:r w:rsidR="00E8546D" w:rsidRPr="00064360">
        <w:rPr>
          <w:rFonts w:eastAsia="Times New Roman"/>
          <w:color w:val="000000" w:themeColor="text1"/>
        </w:rPr>
        <w:t xml:space="preserve"> calagem</w:t>
      </w:r>
      <w:r>
        <w:rPr>
          <w:rFonts w:eastAsia="Times New Roman"/>
          <w:color w:val="000000" w:themeColor="text1"/>
        </w:rPr>
        <w:t>,</w:t>
      </w:r>
      <w:r w:rsidR="003F32D9">
        <w:rPr>
          <w:rFonts w:eastAsia="Times New Roman"/>
          <w:color w:val="000000" w:themeColor="text1"/>
        </w:rPr>
        <w:t xml:space="preserve"> a análise de</w:t>
      </w:r>
      <w:r w:rsidR="00E8546D" w:rsidRPr="00064360">
        <w:rPr>
          <w:rFonts w:eastAsia="Times New Roman"/>
          <w:color w:val="000000" w:themeColor="text1"/>
        </w:rPr>
        <w:t xml:space="preserve"> pH </w:t>
      </w:r>
      <w:r w:rsidR="003F32D9">
        <w:rPr>
          <w:rFonts w:eastAsia="Times New Roman"/>
          <w:color w:val="000000" w:themeColor="text1"/>
        </w:rPr>
        <w:t xml:space="preserve">e saturação por bases </w:t>
      </w:r>
      <w:r>
        <w:rPr>
          <w:rFonts w:eastAsia="Times New Roman"/>
          <w:color w:val="000000" w:themeColor="text1"/>
        </w:rPr>
        <w:t>do solo para</w:t>
      </w:r>
      <w:r w:rsidR="00E8546D" w:rsidRPr="00064360">
        <w:rPr>
          <w:rFonts w:eastAsia="Times New Roman"/>
          <w:color w:val="000000" w:themeColor="text1"/>
        </w:rPr>
        <w:t xml:space="preserve"> Cruz Alta </w:t>
      </w:r>
      <w:r w:rsidR="003F32D9">
        <w:rPr>
          <w:rFonts w:eastAsia="Times New Roman"/>
          <w:color w:val="000000" w:themeColor="text1"/>
        </w:rPr>
        <w:t>apresentaram</w:t>
      </w:r>
      <w:r w:rsidR="00064360">
        <w:rPr>
          <w:rFonts w:eastAsia="Times New Roman"/>
          <w:color w:val="000000" w:themeColor="text1"/>
        </w:rPr>
        <w:t xml:space="preserve"> os seguinte</w:t>
      </w:r>
      <w:r w:rsidR="00657087">
        <w:rPr>
          <w:rFonts w:eastAsia="Times New Roman"/>
          <w:color w:val="000000" w:themeColor="text1"/>
        </w:rPr>
        <w:t xml:space="preserve">s </w:t>
      </w:r>
      <w:r w:rsidR="003F32D9">
        <w:rPr>
          <w:rFonts w:eastAsia="Times New Roman"/>
          <w:color w:val="000000" w:themeColor="text1"/>
        </w:rPr>
        <w:t xml:space="preserve">valores </w:t>
      </w:r>
      <w:r w:rsidR="00657087">
        <w:rPr>
          <w:rFonts w:eastAsia="Times New Roman"/>
          <w:color w:val="000000" w:themeColor="text1"/>
        </w:rPr>
        <w:t>5,76</w:t>
      </w:r>
      <w:r w:rsidR="003F32D9">
        <w:rPr>
          <w:rFonts w:eastAsia="Times New Roman"/>
          <w:color w:val="000000" w:themeColor="text1"/>
        </w:rPr>
        <w:t xml:space="preserve"> e 75,76</w:t>
      </w:r>
      <w:r w:rsidR="0081402E">
        <w:rPr>
          <w:rFonts w:eastAsia="Times New Roman"/>
          <w:color w:val="000000" w:themeColor="text1"/>
        </w:rPr>
        <w:t xml:space="preserve"> </w:t>
      </w:r>
      <w:r w:rsidR="003F32D9">
        <w:rPr>
          <w:rFonts w:eastAsia="Times New Roman"/>
          <w:color w:val="000000" w:themeColor="text1"/>
        </w:rPr>
        <w:t>%,</w:t>
      </w:r>
      <w:r w:rsidR="00657087">
        <w:rPr>
          <w:rFonts w:eastAsia="Times New Roman"/>
          <w:color w:val="000000" w:themeColor="text1"/>
        </w:rPr>
        <w:t xml:space="preserve"> 5,44</w:t>
      </w:r>
      <w:r w:rsidR="003F32D9">
        <w:rPr>
          <w:rFonts w:eastAsia="Times New Roman"/>
          <w:color w:val="000000" w:themeColor="text1"/>
        </w:rPr>
        <w:t xml:space="preserve"> e 68,06</w:t>
      </w:r>
      <w:r w:rsidR="0081402E">
        <w:rPr>
          <w:rFonts w:eastAsia="Times New Roman"/>
          <w:color w:val="000000" w:themeColor="text1"/>
        </w:rPr>
        <w:t xml:space="preserve"> </w:t>
      </w:r>
      <w:r w:rsidR="003F32D9">
        <w:rPr>
          <w:rFonts w:eastAsia="Times New Roman"/>
          <w:color w:val="000000" w:themeColor="text1"/>
        </w:rPr>
        <w:t>%</w:t>
      </w:r>
      <w:r w:rsidR="00657087">
        <w:rPr>
          <w:rFonts w:eastAsia="Times New Roman"/>
          <w:color w:val="000000" w:themeColor="text1"/>
        </w:rPr>
        <w:t xml:space="preserve"> e 5,54</w:t>
      </w:r>
      <w:r w:rsidR="003F32D9">
        <w:rPr>
          <w:rFonts w:eastAsia="Times New Roman"/>
          <w:color w:val="000000" w:themeColor="text1"/>
        </w:rPr>
        <w:t xml:space="preserve"> e 70,04</w:t>
      </w:r>
      <w:r w:rsidR="0081402E">
        <w:rPr>
          <w:rFonts w:eastAsia="Times New Roman"/>
          <w:color w:val="000000" w:themeColor="text1"/>
        </w:rPr>
        <w:t xml:space="preserve"> </w:t>
      </w:r>
      <w:r w:rsidR="003F32D9">
        <w:rPr>
          <w:rFonts w:eastAsia="Times New Roman"/>
          <w:color w:val="000000" w:themeColor="text1"/>
        </w:rPr>
        <w:t>%</w:t>
      </w:r>
      <w:r w:rsidR="00657087">
        <w:rPr>
          <w:rFonts w:eastAsia="Times New Roman"/>
          <w:color w:val="000000" w:themeColor="text1"/>
        </w:rPr>
        <w:t xml:space="preserve"> </w:t>
      </w:r>
      <w:r w:rsidR="00064360">
        <w:rPr>
          <w:rFonts w:eastAsia="Times New Roman"/>
          <w:color w:val="000000" w:themeColor="text1"/>
        </w:rPr>
        <w:t xml:space="preserve">respectivamente para calcário </w:t>
      </w:r>
      <w:proofErr w:type="spellStart"/>
      <w:r w:rsidR="00064360">
        <w:rPr>
          <w:rFonts w:eastAsia="Times New Roman"/>
          <w:color w:val="000000" w:themeColor="text1"/>
        </w:rPr>
        <w:t>dolomítico</w:t>
      </w:r>
      <w:proofErr w:type="spellEnd"/>
      <w:r w:rsidR="00064360">
        <w:rPr>
          <w:rFonts w:eastAsia="Times New Roman"/>
          <w:color w:val="000000" w:themeColor="text1"/>
        </w:rPr>
        <w:t>, cal virgem com 50</w:t>
      </w:r>
      <w:r w:rsidR="0081402E">
        <w:rPr>
          <w:rFonts w:eastAsia="Times New Roman"/>
          <w:color w:val="000000" w:themeColor="text1"/>
        </w:rPr>
        <w:t xml:space="preserve"> </w:t>
      </w:r>
      <w:r w:rsidR="00064360">
        <w:rPr>
          <w:rFonts w:eastAsia="Times New Roman"/>
          <w:color w:val="000000" w:themeColor="text1"/>
        </w:rPr>
        <w:t>% da dose e cal virgem 100</w:t>
      </w:r>
      <w:r w:rsidR="0081402E">
        <w:rPr>
          <w:rFonts w:eastAsia="Times New Roman"/>
          <w:color w:val="000000" w:themeColor="text1"/>
        </w:rPr>
        <w:t xml:space="preserve"> </w:t>
      </w:r>
      <w:r w:rsidR="00064360">
        <w:rPr>
          <w:rFonts w:eastAsia="Times New Roman"/>
          <w:color w:val="000000" w:themeColor="text1"/>
        </w:rPr>
        <w:t xml:space="preserve">% da dose recomenda. </w:t>
      </w:r>
      <w:r w:rsidR="003F32D9">
        <w:rPr>
          <w:rFonts w:eastAsia="Times New Roman"/>
          <w:color w:val="000000" w:themeColor="text1"/>
        </w:rPr>
        <w:t xml:space="preserve">Os resultados para Santo Augusto foram </w:t>
      </w:r>
      <w:r w:rsidR="00681862">
        <w:rPr>
          <w:rFonts w:eastAsia="Times New Roman"/>
          <w:color w:val="000000" w:themeColor="text1"/>
        </w:rPr>
        <w:t>5,32 e 60,04</w:t>
      </w:r>
      <w:r w:rsidR="0081402E">
        <w:rPr>
          <w:rFonts w:eastAsia="Times New Roman"/>
          <w:color w:val="000000" w:themeColor="text1"/>
        </w:rPr>
        <w:t xml:space="preserve"> %</w:t>
      </w:r>
      <w:r w:rsidR="00681862">
        <w:rPr>
          <w:rFonts w:eastAsia="Times New Roman"/>
          <w:color w:val="000000" w:themeColor="text1"/>
        </w:rPr>
        <w:t>, 5,32 e 57,</w:t>
      </w:r>
      <w:r w:rsidR="00C57B0A">
        <w:rPr>
          <w:rFonts w:eastAsia="Times New Roman"/>
          <w:color w:val="000000" w:themeColor="text1"/>
        </w:rPr>
        <w:t>48</w:t>
      </w:r>
      <w:r w:rsidR="0081402E">
        <w:rPr>
          <w:rFonts w:eastAsia="Times New Roman"/>
          <w:color w:val="000000" w:themeColor="text1"/>
        </w:rPr>
        <w:t xml:space="preserve"> %</w:t>
      </w:r>
      <w:r w:rsidR="00C57B0A">
        <w:rPr>
          <w:rFonts w:eastAsia="Times New Roman"/>
          <w:color w:val="000000" w:themeColor="text1"/>
        </w:rPr>
        <w:t>, 5,48 e 65,62</w:t>
      </w:r>
      <w:r w:rsidR="0081402E">
        <w:rPr>
          <w:rFonts w:eastAsia="Times New Roman"/>
          <w:color w:val="000000" w:themeColor="text1"/>
        </w:rPr>
        <w:t xml:space="preserve"> %</w:t>
      </w:r>
      <w:r w:rsidR="00C57B0A">
        <w:rPr>
          <w:rFonts w:eastAsia="Times New Roman"/>
          <w:color w:val="000000" w:themeColor="text1"/>
        </w:rPr>
        <w:t xml:space="preserve"> respectivamente para calcário </w:t>
      </w:r>
      <w:proofErr w:type="spellStart"/>
      <w:r w:rsidR="00C57B0A">
        <w:rPr>
          <w:rFonts w:eastAsia="Times New Roman"/>
          <w:color w:val="000000" w:themeColor="text1"/>
        </w:rPr>
        <w:t>dolomítico</w:t>
      </w:r>
      <w:proofErr w:type="spellEnd"/>
      <w:r w:rsidR="00C57B0A">
        <w:rPr>
          <w:rFonts w:eastAsia="Times New Roman"/>
          <w:color w:val="000000" w:themeColor="text1"/>
        </w:rPr>
        <w:t>, cal virgem com 50</w:t>
      </w:r>
      <w:r w:rsidR="0081402E">
        <w:rPr>
          <w:rFonts w:eastAsia="Times New Roman"/>
          <w:color w:val="000000" w:themeColor="text1"/>
        </w:rPr>
        <w:t xml:space="preserve"> </w:t>
      </w:r>
      <w:r w:rsidR="00C57B0A">
        <w:rPr>
          <w:rFonts w:eastAsia="Times New Roman"/>
          <w:color w:val="000000" w:themeColor="text1"/>
        </w:rPr>
        <w:t>% da dose e cal virgem 100</w:t>
      </w:r>
      <w:r w:rsidR="0081402E">
        <w:rPr>
          <w:rFonts w:eastAsia="Times New Roman"/>
          <w:color w:val="000000" w:themeColor="text1"/>
        </w:rPr>
        <w:t xml:space="preserve"> </w:t>
      </w:r>
      <w:r w:rsidR="00C57B0A">
        <w:rPr>
          <w:rFonts w:eastAsia="Times New Roman"/>
          <w:color w:val="000000" w:themeColor="text1"/>
        </w:rPr>
        <w:t>% da dose recomenda.</w:t>
      </w:r>
      <w:r w:rsidR="00A032EB">
        <w:rPr>
          <w:rFonts w:eastAsia="Times New Roman"/>
          <w:color w:val="000000" w:themeColor="text1"/>
        </w:rPr>
        <w:t xml:space="preserve"> Os </w:t>
      </w:r>
      <w:r w:rsidR="0077119D">
        <w:rPr>
          <w:rFonts w:eastAsia="Times New Roman"/>
          <w:color w:val="000000" w:themeColor="text1"/>
        </w:rPr>
        <w:t>*</w:t>
      </w:r>
      <w:r w:rsidR="00A032EB">
        <w:rPr>
          <w:rFonts w:eastAsia="Times New Roman"/>
          <w:color w:val="000000" w:themeColor="text1"/>
        </w:rPr>
        <w:t>resultados 40 dias após a calagem</w:t>
      </w:r>
      <w:r w:rsidR="0077119D">
        <w:rPr>
          <w:rFonts w:eastAsia="Times New Roman"/>
          <w:color w:val="000000" w:themeColor="text1"/>
        </w:rPr>
        <w:t xml:space="preserve"> foram para pH e saturação por bases igual a </w:t>
      </w:r>
    </w:p>
    <w:p w14:paraId="0C0B79D5" w14:textId="77777777" w:rsidR="00A032EB" w:rsidRPr="00064360" w:rsidRDefault="00A032EB" w:rsidP="006760B9">
      <w:pPr>
        <w:rPr>
          <w:rFonts w:eastAsia="Times New Roman"/>
          <w:color w:val="000000" w:themeColor="text1"/>
        </w:rPr>
      </w:pPr>
    </w:p>
    <w:p w14:paraId="7592FA35" w14:textId="7798C2BE" w:rsidR="002969B5" w:rsidRPr="00122DEF" w:rsidRDefault="002969B5" w:rsidP="002969B5">
      <w:pPr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Todas as fontes de calcário elevaram o pH</w:t>
      </w:r>
      <w:r w:rsidR="0081402E">
        <w:rPr>
          <w:rFonts w:eastAsia="Times New Roman"/>
          <w:color w:val="000000" w:themeColor="text1"/>
        </w:rPr>
        <w:t xml:space="preserve"> e saturação por bases (Figura 4</w:t>
      </w:r>
      <w:r>
        <w:rPr>
          <w:rFonts w:eastAsia="Times New Roman"/>
          <w:color w:val="000000" w:themeColor="text1"/>
        </w:rPr>
        <w:t>). A comparação das médias de pH e saturação por bases do solo indicou que os valores médios desses parâmetros não diferenciaram entre si, entretanto tiveram diferenças significativas entre os locais</w:t>
      </w:r>
      <w:r w:rsidR="004B3B98">
        <w:rPr>
          <w:rFonts w:eastAsia="Times New Roman"/>
          <w:color w:val="000000" w:themeColor="text1"/>
        </w:rPr>
        <w:t>, representados na Figura</w:t>
      </w:r>
      <w:r w:rsidR="00B54575">
        <w:rPr>
          <w:rFonts w:eastAsia="Times New Roman"/>
          <w:color w:val="000000" w:themeColor="text1"/>
        </w:rPr>
        <w:t xml:space="preserve"> 4</w:t>
      </w:r>
      <w:r>
        <w:rPr>
          <w:rFonts w:eastAsia="Times New Roman"/>
          <w:color w:val="000000" w:themeColor="text1"/>
        </w:rPr>
        <w:t xml:space="preserve">. </w:t>
      </w:r>
    </w:p>
    <w:p w14:paraId="5EF8CB5C" w14:textId="5C59D732" w:rsidR="00542D9B" w:rsidRDefault="00A86EDF" w:rsidP="00542D9B">
      <w:pPr>
        <w:pStyle w:val="Ttulo2"/>
      </w:pPr>
      <w:bookmarkStart w:id="17" w:name="_Toc487108332"/>
      <w:r>
        <w:lastRenderedPageBreak/>
        <w:t>Figura 3</w:t>
      </w:r>
      <w:r w:rsidR="00542D9B">
        <w:t xml:space="preserve">. </w:t>
      </w:r>
      <w:r w:rsidR="00720585">
        <w:t>Efeito da calagem sobre os tratamentos.</w:t>
      </w:r>
      <w:bookmarkEnd w:id="17"/>
    </w:p>
    <w:p w14:paraId="7D89B1AC" w14:textId="77777777" w:rsidR="00720585" w:rsidRDefault="00720585" w:rsidP="00720585">
      <w:r>
        <w:rPr>
          <w:noProof/>
          <w:lang w:eastAsia="pt-BR"/>
        </w:rPr>
        <w:drawing>
          <wp:inline distT="0" distB="0" distL="0" distR="0" wp14:anchorId="49C1CB6A" wp14:editId="71B35345">
            <wp:extent cx="5752465" cy="7442835"/>
            <wp:effectExtent l="0" t="0" r="0" b="0"/>
            <wp:docPr id="8" name="Imagem 8" descr="Graf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o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DB2C" w14:textId="277B82D4" w:rsidR="00681862" w:rsidRPr="00681862" w:rsidRDefault="00A86EDF" w:rsidP="00681862">
      <w:pPr>
        <w:pStyle w:val="SemEspaamento"/>
      </w:pPr>
      <w:r>
        <w:t>Figura 3</w:t>
      </w:r>
      <w:r w:rsidR="00720585" w:rsidRPr="00BE1930">
        <w:t xml:space="preserve">. Efeito da calagem com calcário </w:t>
      </w:r>
      <w:proofErr w:type="spellStart"/>
      <w:r w:rsidR="00720585" w:rsidRPr="00BE1930">
        <w:t>dolomítico</w:t>
      </w:r>
      <w:proofErr w:type="spellEnd"/>
      <w:r w:rsidR="00720585" w:rsidRPr="00BE1930">
        <w:t xml:space="preserve"> sobre o pH (a), efeito da calagem com cal agrícola em 50% da dose comercial recomendada sobre o pH (b), efeito da calagem com cal agrícola em 100% da dose comercial recomendada sobre o pH (c). Efeito da calagem com calcário </w:t>
      </w:r>
      <w:proofErr w:type="spellStart"/>
      <w:r w:rsidR="00720585" w:rsidRPr="00BE1930">
        <w:t>dolomítico</w:t>
      </w:r>
      <w:proofErr w:type="spellEnd"/>
      <w:r w:rsidR="00720585" w:rsidRPr="00BE1930">
        <w:t xml:space="preserve"> sobre a saturação por bases (d), efeito da calagem com cal agrícola em 50% da dose comercial recomendada sobre saturação por bases (e), efeito da calagem com cal agrícola em 100% da dose comercial recomendada sobre saturação por bases (f). Nota: Letras maiúsculas diferentes indicam diferença (p &lt; 0,05) entre o tempo de aplicação e letras minúsculas indicam diferença (p &lt; 0,05) entre os locais.</w:t>
      </w:r>
    </w:p>
    <w:p w14:paraId="3FE9A606" w14:textId="6FBC86B5" w:rsidR="00E84F26" w:rsidRDefault="00E84F26" w:rsidP="00E84F26">
      <w:pPr>
        <w:ind w:firstLine="708"/>
      </w:pPr>
      <w:r>
        <w:lastRenderedPageBreak/>
        <w:t>O resultado mostrou que os índices de pH obtido</w:t>
      </w:r>
      <w:r w:rsidR="0081402E">
        <w:t>s</w:t>
      </w:r>
      <w:r>
        <w:t xml:space="preserve"> pelo calcário </w:t>
      </w:r>
      <w:proofErr w:type="spellStart"/>
      <w:r>
        <w:t>dolomítico</w:t>
      </w:r>
      <w:proofErr w:type="spellEnd"/>
      <w:r>
        <w:t xml:space="preserve"> e pela cal agrícola em </w:t>
      </w:r>
      <w:r w:rsidR="0081402E">
        <w:t>ambas as doses, proporcionaram</w:t>
      </w:r>
      <w:r>
        <w:t xml:space="preserve"> aumento do pH para próximo ao desejado em 20 dias, sem dife</w:t>
      </w:r>
      <w:r w:rsidR="0081402E">
        <w:t xml:space="preserve">rença significativa sugerindo </w:t>
      </w:r>
      <w:r>
        <w:t xml:space="preserve">igualdade entre a performance corretiva dessas diferentes fontes de calcário no período de tempo avaliado. </w:t>
      </w:r>
    </w:p>
    <w:p w14:paraId="01930ED9" w14:textId="75B3CB48" w:rsidR="00E84F26" w:rsidRDefault="00E84F26" w:rsidP="00E84F26">
      <w:pPr>
        <w:ind w:firstLine="360"/>
      </w:pPr>
      <w:r>
        <w:t xml:space="preserve">A rápida elevação do pH e saturação por bases do solo, do tratamento com calcário </w:t>
      </w:r>
      <w:proofErr w:type="spellStart"/>
      <w:r>
        <w:t>dolomítico</w:t>
      </w:r>
      <w:proofErr w:type="spellEnd"/>
      <w:r>
        <w:t xml:space="preserve"> nas camadas 0 a 10 cm, também foi relativamente semelhante ao tempo de reação observado por Amaral (2001) e Caires (2000), em condições de solo e clima similar</w:t>
      </w:r>
      <w:r w:rsidR="0081402E">
        <w:t>es à</w:t>
      </w:r>
      <w:r>
        <w:t>s do presente trabalho.</w:t>
      </w:r>
    </w:p>
    <w:p w14:paraId="0D1AE148" w14:textId="113F27B9" w:rsidR="00CD7514" w:rsidRPr="00CD7514" w:rsidRDefault="00FD0863" w:rsidP="00CD7514">
      <w:pPr>
        <w:ind w:firstLine="360"/>
      </w:pPr>
      <w:r w:rsidRPr="001850F2">
        <w:t xml:space="preserve">A cal virgem </w:t>
      </w:r>
      <w:r w:rsidR="0081402E">
        <w:t>usada na experimentação, demandou</w:t>
      </w:r>
      <w:r w:rsidRPr="001850F2">
        <w:t xml:space="preserve"> menor quantidade de produto para a correção do qu</w:t>
      </w:r>
      <w:r w:rsidR="0081402E">
        <w:t>e a recomendada pelo revendedor, j</w:t>
      </w:r>
      <w:r>
        <w:t>á que</w:t>
      </w:r>
      <w:r w:rsidRPr="001850F2">
        <w:t xml:space="preserve"> meta</w:t>
      </w:r>
      <w:r>
        <w:t>de da dose recomendada apresentou</w:t>
      </w:r>
      <w:r w:rsidRPr="001850F2">
        <w:t xml:space="preserve"> aumento do pH e saturação por bases sem diferenças significativas</w:t>
      </w:r>
      <w:r>
        <w:t xml:space="preserve"> para 100% da dose. E</w:t>
      </w:r>
      <w:r w:rsidRPr="001850F2">
        <w:t>ntretanto</w:t>
      </w:r>
      <w:r w:rsidR="00A6335C">
        <w:t>, o custo da</w:t>
      </w:r>
      <w:r w:rsidRPr="001850F2">
        <w:t xml:space="preserve"> quantidade</w:t>
      </w:r>
      <w:r w:rsidR="00A6335C">
        <w:t xml:space="preserve"> de cal virgem</w:t>
      </w:r>
      <w:r>
        <w:t xml:space="preserve">, nos valores da safra 2016/17 foi </w:t>
      </w:r>
      <w:r w:rsidR="00A6335C">
        <w:rPr>
          <w:color w:val="000000" w:themeColor="text1"/>
        </w:rPr>
        <w:t>8 vezes</w:t>
      </w:r>
      <w:r w:rsidRPr="002B6C4F">
        <w:rPr>
          <w:color w:val="FF0000"/>
        </w:rPr>
        <w:t xml:space="preserve"> </w:t>
      </w:r>
      <w:r w:rsidRPr="001850F2">
        <w:t xml:space="preserve">superior ao custo da quantidade do calcário </w:t>
      </w:r>
      <w:proofErr w:type="spellStart"/>
      <w:r w:rsidRPr="001850F2">
        <w:t>dolomítico</w:t>
      </w:r>
      <w:proofErr w:type="spellEnd"/>
      <w:r w:rsidRPr="001850F2">
        <w:t xml:space="preserve"> necessário para a correção.</w:t>
      </w:r>
      <w:r w:rsidR="00CD7514">
        <w:t xml:space="preserve"> Os preços foram cotados para o calcário </w:t>
      </w:r>
      <w:proofErr w:type="spellStart"/>
      <w:r w:rsidR="00CD7514">
        <w:t>dolomítico</w:t>
      </w:r>
      <w:proofErr w:type="spellEnd"/>
      <w:r w:rsidR="00CD7514">
        <w:t xml:space="preserve"> em três revendas do produto (</w:t>
      </w:r>
      <w:proofErr w:type="spellStart"/>
      <w:r w:rsidR="00CD7514">
        <w:t>Contribá</w:t>
      </w:r>
      <w:proofErr w:type="spellEnd"/>
      <w:r w:rsidR="00CD7514">
        <w:t xml:space="preserve">, Três Tentos e </w:t>
      </w:r>
      <w:proofErr w:type="spellStart"/>
      <w:r w:rsidR="00CD7514">
        <w:t>Agricruz</w:t>
      </w:r>
      <w:proofErr w:type="spellEnd"/>
      <w:r w:rsidR="00CD7514">
        <w:t>), as quais são próximas aos locais do experimento. E o custo da cal virgem agrícola foi o valor passado pelo representante da marca, a qual só realiza vendas diretas ao produtor.</w:t>
      </w:r>
      <w:r w:rsidR="00A6335C">
        <w:t xml:space="preserve"> Portanto,</w:t>
      </w:r>
      <w:r>
        <w:t xml:space="preserve"> há superioridade econômica </w:t>
      </w:r>
      <w:r w:rsidR="00A6335C">
        <w:t xml:space="preserve">entre o uso do calcário </w:t>
      </w:r>
      <w:proofErr w:type="spellStart"/>
      <w:r w:rsidR="00A6335C">
        <w:t>dolo</w:t>
      </w:r>
      <w:r w:rsidR="00CD7514">
        <w:t>mítico</w:t>
      </w:r>
      <w:proofErr w:type="spellEnd"/>
      <w:r w:rsidR="00CD7514">
        <w:t xml:space="preserve"> para o uso da cal virgem, além da maior facilidade e acesso ao calcário </w:t>
      </w:r>
      <w:proofErr w:type="spellStart"/>
      <w:r w:rsidR="00CD7514">
        <w:t>dolomítico</w:t>
      </w:r>
      <w:proofErr w:type="spellEnd"/>
      <w:r w:rsidR="00CD7514">
        <w:t xml:space="preserve"> em vários locais de venda.</w:t>
      </w:r>
    </w:p>
    <w:p w14:paraId="6A6ACCBE" w14:textId="3DEC7C9A" w:rsidR="00281752" w:rsidRDefault="0031020C" w:rsidP="00723A84">
      <w:pPr>
        <w:ind w:firstLine="360"/>
      </w:pPr>
      <w:r w:rsidRPr="0031020C">
        <w:t>Os valores de saturação por bases</w:t>
      </w:r>
      <w:r w:rsidR="0032444F">
        <w:t xml:space="preserve"> e pH do solo</w:t>
      </w:r>
      <w:r w:rsidRPr="0031020C">
        <w:t xml:space="preserve"> resultantes </w:t>
      </w:r>
      <w:r w:rsidR="0032444F">
        <w:t xml:space="preserve">da calagem em Cruz Alta, </w:t>
      </w:r>
      <w:r w:rsidRPr="0031020C">
        <w:t xml:space="preserve">mostraram ter sido suficientes para </w:t>
      </w:r>
      <w:r w:rsidR="00336A14">
        <w:t>a bonificação do produtor, portanto, nessas condições, amba</w:t>
      </w:r>
      <w:r w:rsidRPr="0031020C">
        <w:t>s as fontes de calcário seriam indicadas para tal função. Os efeitos da calagem superficial nas características químicas do solo podem variar de acordo com a acidez potencial da camada, a dose utilizada, o tempo de reação e a disponibilidade de água. (RODRIGHERO, M. B. et al., 2015). O fato de ter ocorrido irrigações freque</w:t>
      </w:r>
      <w:r w:rsidR="00336A14">
        <w:t xml:space="preserve">ntes nos pivôs utilizados </w:t>
      </w:r>
      <w:r w:rsidRPr="0031020C">
        <w:t xml:space="preserve">influencia a rápida reatividade dos tratamentos. A água é relevante para dissolução e promoção do aumento da saturação por bases tanto do calcário </w:t>
      </w:r>
      <w:proofErr w:type="spellStart"/>
      <w:r w:rsidRPr="0031020C">
        <w:t>dolomítico</w:t>
      </w:r>
      <w:proofErr w:type="spellEnd"/>
      <w:r w:rsidRPr="0031020C">
        <w:t xml:space="preserve"> quanto da cal virgem (RAMOS et al. 2006). As fontes de calcário não só reduzem a acidez do solo, mas também adicionam Ca</w:t>
      </w:r>
      <w:r w:rsidRPr="00DA5B21">
        <w:rPr>
          <w:vertAlign w:val="superscript"/>
        </w:rPr>
        <w:t>+2</w:t>
      </w:r>
      <w:r w:rsidRPr="0031020C">
        <w:t xml:space="preserve"> e Mg</w:t>
      </w:r>
      <w:r w:rsidRPr="00DA5B21">
        <w:rPr>
          <w:vertAlign w:val="superscript"/>
        </w:rPr>
        <w:t>+2</w:t>
      </w:r>
      <w:r w:rsidRPr="0031020C">
        <w:t>, pela a neutralização do H</w:t>
      </w:r>
      <w:r w:rsidRPr="00DA5B21">
        <w:rPr>
          <w:vertAlign w:val="superscript"/>
        </w:rPr>
        <w:t>+</w:t>
      </w:r>
      <w:r w:rsidRPr="0031020C">
        <w:t xml:space="preserve"> e Al</w:t>
      </w:r>
      <w:r w:rsidRPr="00DA5B21">
        <w:rPr>
          <w:vertAlign w:val="superscript"/>
        </w:rPr>
        <w:t>+3</w:t>
      </w:r>
      <w:r w:rsidRPr="0031020C">
        <w:t xml:space="preserve"> do solo (VELOSO, et al., 2000). Essa entrada de cátions básicos aume</w:t>
      </w:r>
      <w:r w:rsidR="00DA5B21">
        <w:t>nta a saturação por bases</w:t>
      </w:r>
      <w:r w:rsidR="0032444F">
        <w:t xml:space="preserve"> e pH</w:t>
      </w:r>
      <w:r w:rsidR="00DA5B21">
        <w:t xml:space="preserve"> (MELLO F. A., 1983). </w:t>
      </w:r>
    </w:p>
    <w:p w14:paraId="675987CC" w14:textId="477DDE8F" w:rsidR="0032444F" w:rsidRDefault="00336A14" w:rsidP="00A6335C">
      <w:pPr>
        <w:ind w:firstLine="360"/>
      </w:pPr>
      <w:r>
        <w:lastRenderedPageBreak/>
        <w:t>O</w:t>
      </w:r>
      <w:r w:rsidR="00AD1408">
        <w:t>s valores da saturação por bases e pH para Santo Augusto foram</w:t>
      </w:r>
      <w:r>
        <w:t>, contudo,</w:t>
      </w:r>
      <w:r w:rsidR="00AD1408">
        <w:t xml:space="preserve"> inferiores aos requisitados pela empresa contratante. </w:t>
      </w:r>
      <w:r w:rsidR="0032444F">
        <w:t xml:space="preserve">O </w:t>
      </w:r>
      <w:proofErr w:type="spellStart"/>
      <w:r w:rsidR="0032444F">
        <w:t>Latossolo</w:t>
      </w:r>
      <w:proofErr w:type="spellEnd"/>
      <w:r w:rsidR="0032444F">
        <w:t xml:space="preserve"> Vermelho Distrófico Típico do município de Cruz Alta, e o </w:t>
      </w:r>
      <w:proofErr w:type="spellStart"/>
      <w:r w:rsidR="0032444F">
        <w:t>Latossolo</w:t>
      </w:r>
      <w:proofErr w:type="spellEnd"/>
      <w:r w:rsidR="0032444F">
        <w:t xml:space="preserve"> Vermelho Escuro Distrófico do município de Santo Augusto apresentara</w:t>
      </w:r>
      <w:r>
        <w:t>m mesmo índice SMP. Esse índice</w:t>
      </w:r>
      <w:r w:rsidR="0032444F">
        <w:t xml:space="preserve"> lhes conferiu a mesma recomendação de calcário para a correção do pH.</w:t>
      </w:r>
      <w:r w:rsidR="00A6335C">
        <w:t xml:space="preserve"> </w:t>
      </w:r>
      <w:r w:rsidR="00AE5B9C">
        <w:t>Porém</w:t>
      </w:r>
      <w:r w:rsidR="0032444F">
        <w:t xml:space="preserve">, esses solos diferenciam-se em relação a outros fatores que interferem no balanço químico da solução do solo como teor de matéria orgânica, teor de argila, pH e outros teores de nutrientes (Tabela 1). Essas diferenças resultam em variações </w:t>
      </w:r>
      <w:r w:rsidR="00B4183A">
        <w:t>do poder tampão desse solo</w:t>
      </w:r>
      <w:r w:rsidR="0032444F">
        <w:t>, que atua diretamente na resistência do solo para variação do pH</w:t>
      </w:r>
      <w:r w:rsidR="00AD1408">
        <w:t xml:space="preserve"> e da saturação por bases</w:t>
      </w:r>
      <w:r w:rsidR="0032444F">
        <w:t>. Assim, justifica-se a diferença significativa dos valores de pH e saturação por bases entre os dois locais.</w:t>
      </w:r>
      <w:r w:rsidR="00AD1408">
        <w:t xml:space="preserve"> </w:t>
      </w:r>
    </w:p>
    <w:p w14:paraId="7A9896CC" w14:textId="1F0CB30D" w:rsidR="00B4183A" w:rsidRDefault="00064DF6" w:rsidP="00336A14">
      <w:pPr>
        <w:ind w:firstLine="360"/>
        <w:rPr>
          <w:rFonts w:eastAsia="Times New Roman"/>
        </w:rPr>
      </w:pPr>
      <w:r>
        <w:t xml:space="preserve">Trabalho </w:t>
      </w:r>
      <w:r w:rsidR="00AE5B9C">
        <w:t xml:space="preserve">sobre efeito da calagem em solos tamponados do Rio Grande do Sul, afirma-se que em solos com alto teor de matéria orgânica o valor de pH menor que 5,5 não altera o potencial produtivo da cultura empregada, porque o poder tampão do solo altera a dinâmica dos íons </w:t>
      </w:r>
      <w:r w:rsidR="00AE5B9C">
        <w:rPr>
          <w:rFonts w:eastAsia="Times New Roman"/>
        </w:rPr>
        <w:t xml:space="preserve">(ERNANI et al., 1997). Da mesma forma, Silva (2013) mostrou interação entre influências do poder tampão na dinâmica dos íons presentes no solo, </w:t>
      </w:r>
      <w:r w:rsidR="00336A14">
        <w:rPr>
          <w:rFonts w:eastAsia="Times New Roman"/>
        </w:rPr>
        <w:t>sugerindo também</w:t>
      </w:r>
      <w:r w:rsidR="00AE5B9C">
        <w:rPr>
          <w:rFonts w:eastAsia="Times New Roman"/>
        </w:rPr>
        <w:t xml:space="preserve"> que a umidade do solo na época da coleta pode influenciar na determinação do pH e da saturaç</w:t>
      </w:r>
      <w:r w:rsidR="00336A14">
        <w:rPr>
          <w:rFonts w:eastAsia="Times New Roman"/>
        </w:rPr>
        <w:t>ão por bases. Portanto, como o</w:t>
      </w:r>
      <w:r w:rsidR="00C8280E">
        <w:rPr>
          <w:rFonts w:eastAsia="Times New Roman"/>
        </w:rPr>
        <w:t>s</w:t>
      </w:r>
      <w:r w:rsidR="00336A14">
        <w:rPr>
          <w:rFonts w:eastAsia="Times New Roman"/>
        </w:rPr>
        <w:t xml:space="preserve"> </w:t>
      </w:r>
      <w:r w:rsidR="00AE5B9C">
        <w:rPr>
          <w:rFonts w:eastAsia="Times New Roman"/>
        </w:rPr>
        <w:t>solos analisados possuem alto índice de matéria orgânica (CQFSRS/RS, 2004)</w:t>
      </w:r>
      <w:r w:rsidR="00336A14">
        <w:rPr>
          <w:rFonts w:eastAsia="Times New Roman"/>
        </w:rPr>
        <w:t xml:space="preserve"> como o solo de Santo Augusto e o experimento</w:t>
      </w:r>
      <w:r w:rsidR="00AE5B9C">
        <w:rPr>
          <w:rFonts w:eastAsia="Times New Roman"/>
        </w:rPr>
        <w:t xml:space="preserve"> foi realizado sobre sistema irrigado</w:t>
      </w:r>
      <w:r w:rsidR="00336A14">
        <w:rPr>
          <w:rFonts w:eastAsia="Times New Roman"/>
        </w:rPr>
        <w:t>, há a predominância desse poder tampão afetando assim</w:t>
      </w:r>
      <w:r w:rsidR="007305FE">
        <w:rPr>
          <w:rFonts w:eastAsia="Times New Roman"/>
        </w:rPr>
        <w:t xml:space="preserve"> seus resultados de pH e satur</w:t>
      </w:r>
      <w:r w:rsidR="00336A14">
        <w:rPr>
          <w:rFonts w:eastAsia="Times New Roman"/>
        </w:rPr>
        <w:t>ação por bases</w:t>
      </w:r>
      <w:r w:rsidR="00AE5B9C">
        <w:rPr>
          <w:rFonts w:eastAsia="Times New Roman"/>
        </w:rPr>
        <w:t xml:space="preserve">. </w:t>
      </w:r>
    </w:p>
    <w:p w14:paraId="6BB3E525" w14:textId="353FC00E" w:rsidR="00A3720E" w:rsidRDefault="00723A84" w:rsidP="009E56D9">
      <w:pPr>
        <w:ind w:firstLine="360"/>
      </w:pPr>
      <w:r>
        <w:t xml:space="preserve">Os </w:t>
      </w:r>
      <w:r w:rsidR="00AD1408">
        <w:t xml:space="preserve">dados de produção </w:t>
      </w:r>
      <w:r w:rsidR="00336A14">
        <w:t>fornecidos</w:t>
      </w:r>
      <w:r w:rsidR="00986532">
        <w:t xml:space="preserve"> pela empresa produtora de milho, </w:t>
      </w:r>
      <w:r w:rsidR="00AD1408">
        <w:t>confirmam que os</w:t>
      </w:r>
      <w:r>
        <w:t xml:space="preserve"> valor</w:t>
      </w:r>
      <w:r w:rsidR="00AD1408">
        <w:t>es</w:t>
      </w:r>
      <w:r w:rsidR="00986532">
        <w:t xml:space="preserve"> de pH e saturação por bases</w:t>
      </w:r>
      <w:r w:rsidR="00AD1408">
        <w:t xml:space="preserve"> requeridos p</w:t>
      </w:r>
      <w:r w:rsidR="00336A14">
        <w:t xml:space="preserve">ela empresa contratante afetam </w:t>
      </w:r>
      <w:r w:rsidR="00AD1408">
        <w:t>o ranking de produção</w:t>
      </w:r>
      <w:r w:rsidR="00986532">
        <w:t>. J</w:t>
      </w:r>
      <w:r>
        <w:t>á que par</w:t>
      </w:r>
      <w:r w:rsidR="00C954DC">
        <w:t xml:space="preserve">a Cruz Alta, a produtividade do mesmo híbrido em outros pivôs </w:t>
      </w:r>
      <w:r w:rsidR="00B4183A">
        <w:t xml:space="preserve">da região, </w:t>
      </w:r>
      <w:r w:rsidR="00064DF6">
        <w:t xml:space="preserve">mostrou melhores </w:t>
      </w:r>
      <w:r w:rsidR="00C954DC">
        <w:t>resultados</w:t>
      </w:r>
      <w:r w:rsidR="004B3B98">
        <w:t xml:space="preserve"> quando os valores de pH e saturação por bases foram superiores a 5,5 e 65 % respectivamente. Entretanto, para Santo Augusto, os pivôs apresentaram alta produtividade mesmo com valores de pH e saturação por bases</w:t>
      </w:r>
      <w:r w:rsidR="00D4373D">
        <w:t xml:space="preserve"> um</w:t>
      </w:r>
      <w:r w:rsidR="004B3B98">
        <w:t xml:space="preserve"> pouco inf</w:t>
      </w:r>
      <w:r w:rsidR="00B54575">
        <w:t>eriores aos requisitados (Tabela</w:t>
      </w:r>
      <w:r w:rsidR="004B3B98">
        <w:t xml:space="preserve"> 4).</w:t>
      </w:r>
    </w:p>
    <w:p w14:paraId="24792078" w14:textId="77777777" w:rsidR="00A3720E" w:rsidRDefault="00A3720E" w:rsidP="009E56D9">
      <w:pPr>
        <w:ind w:firstLine="360"/>
      </w:pPr>
    </w:p>
    <w:p w14:paraId="5A898A45" w14:textId="77777777" w:rsidR="00EA00AF" w:rsidRDefault="00EA00AF" w:rsidP="009E56D9">
      <w:pPr>
        <w:ind w:firstLine="360"/>
      </w:pPr>
    </w:p>
    <w:p w14:paraId="698A578C" w14:textId="77777777" w:rsidR="00EA00AF" w:rsidRDefault="00EA00AF" w:rsidP="009E56D9">
      <w:pPr>
        <w:ind w:firstLine="360"/>
      </w:pPr>
    </w:p>
    <w:p w14:paraId="1D945EEE" w14:textId="77777777" w:rsidR="00EA00AF" w:rsidRDefault="00EA00AF" w:rsidP="009E56D9">
      <w:pPr>
        <w:ind w:firstLine="360"/>
      </w:pPr>
    </w:p>
    <w:p w14:paraId="600A93D2" w14:textId="77777777" w:rsidR="00EA00AF" w:rsidRDefault="00EA00AF" w:rsidP="009E56D9">
      <w:pPr>
        <w:ind w:firstLine="360"/>
      </w:pPr>
    </w:p>
    <w:p w14:paraId="5EB5466E" w14:textId="059076E0" w:rsidR="00A3720E" w:rsidRDefault="00336A14" w:rsidP="00A3720E">
      <w:pPr>
        <w:pStyle w:val="Ttulo2"/>
      </w:pPr>
      <w:bookmarkStart w:id="18" w:name="_Toc487108333"/>
      <w:r>
        <w:lastRenderedPageBreak/>
        <w:t>Tabela 4. Índices das maiores produtividades da</w:t>
      </w:r>
      <w:r w:rsidR="00A3720E">
        <w:t xml:space="preserve"> safra 2016</w:t>
      </w:r>
      <w:r w:rsidR="00A3720E" w:rsidRPr="00323459">
        <w:t>/17.</w:t>
      </w:r>
      <w:bookmarkEnd w:id="18"/>
      <w:r w:rsidR="00CD50EE">
        <w:t xml:space="preserve"> 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  <w:gridCol w:w="1140"/>
        <w:gridCol w:w="1280"/>
        <w:gridCol w:w="1980"/>
      </w:tblGrid>
      <w:tr w:rsidR="00A3720E" w:rsidRPr="00A3720E" w14:paraId="7FD4D54F" w14:textId="77777777" w:rsidTr="00A3720E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7596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 xml:space="preserve">Local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B87D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Pivô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4157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A3720E">
              <w:rPr>
                <w:rFonts w:eastAsia="Times New Roman" w:cs="Arial"/>
                <w:color w:val="000000"/>
                <w:lang w:eastAsia="pt-BR"/>
              </w:rPr>
              <w:t>pH</w:t>
            </w:r>
            <w:proofErr w:type="gramEnd"/>
            <w:r w:rsidRPr="00A3720E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9935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V 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16C4F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Produtividade em kg por hectare</w:t>
            </w:r>
          </w:p>
        </w:tc>
      </w:tr>
      <w:tr w:rsidR="00A3720E" w:rsidRPr="00A3720E" w14:paraId="785F91D6" w14:textId="77777777" w:rsidTr="00A3720E">
        <w:trPr>
          <w:trHeight w:val="539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0823E6" w14:textId="77777777" w:rsidR="00A3720E" w:rsidRPr="00A3720E" w:rsidRDefault="00A3720E" w:rsidP="00A3720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5ED20" w14:textId="77777777" w:rsidR="00A3720E" w:rsidRPr="00A3720E" w:rsidRDefault="00A3720E" w:rsidP="00A3720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768B71" w14:textId="77777777" w:rsidR="00A3720E" w:rsidRPr="00A3720E" w:rsidRDefault="00A3720E" w:rsidP="00A3720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024F9" w14:textId="77777777" w:rsidR="00A3720E" w:rsidRPr="00A3720E" w:rsidRDefault="00A3720E" w:rsidP="00A3720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2743C4" w14:textId="77777777" w:rsidR="00A3720E" w:rsidRPr="00A3720E" w:rsidRDefault="00A3720E" w:rsidP="00A3720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3720E" w:rsidRPr="00A3720E" w14:paraId="1FA88F8C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491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Santo Augusto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B209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86C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977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56,88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916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3447,121</w:t>
            </w:r>
          </w:p>
        </w:tc>
      </w:tr>
      <w:tr w:rsidR="00A3720E" w:rsidRPr="00A3720E" w14:paraId="231FFF88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FC2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Cruz Alta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D68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702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4AE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67,14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F98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3383,899</w:t>
            </w:r>
          </w:p>
        </w:tc>
      </w:tr>
      <w:tr w:rsidR="00A3720E" w:rsidRPr="00A3720E" w14:paraId="4DD68363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88F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Cruz Alta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099C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056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4D8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73,86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E86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3167,023</w:t>
            </w:r>
          </w:p>
        </w:tc>
      </w:tr>
      <w:tr w:rsidR="00A3720E" w:rsidRPr="00A3720E" w14:paraId="41ED28DF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EB5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Santo Augusto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541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2DBD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7E4E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58,1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5D95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3144,103</w:t>
            </w:r>
          </w:p>
        </w:tc>
      </w:tr>
      <w:tr w:rsidR="00A3720E" w:rsidRPr="00A3720E" w14:paraId="0FE08FFC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3B6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Santo Augusto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E8A6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F60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31F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52,2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FCF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3110,612</w:t>
            </w:r>
          </w:p>
        </w:tc>
      </w:tr>
      <w:tr w:rsidR="00A3720E" w:rsidRPr="00A3720E" w14:paraId="735A8009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A79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Cruz Alta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913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4EF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F02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70,2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3AF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2836,26</w:t>
            </w:r>
          </w:p>
        </w:tc>
      </w:tr>
      <w:tr w:rsidR="00A3720E" w:rsidRPr="00A3720E" w14:paraId="00806F37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3B3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Cruz Alta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2BC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81E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9713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70,58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C3C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2487,083</w:t>
            </w:r>
          </w:p>
        </w:tc>
      </w:tr>
      <w:tr w:rsidR="00A3720E" w:rsidRPr="00A3720E" w14:paraId="02D50DF0" w14:textId="77777777" w:rsidTr="00A3720E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365E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Santo Augusto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A67E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F5C1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DFFA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53,4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51E" w14:textId="77777777" w:rsidR="00A3720E" w:rsidRPr="00A3720E" w:rsidRDefault="00A3720E" w:rsidP="00A3720E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A3720E">
              <w:rPr>
                <w:rFonts w:eastAsia="Times New Roman" w:cs="Arial"/>
                <w:color w:val="000000"/>
                <w:lang w:eastAsia="pt-BR"/>
              </w:rPr>
              <w:t>2365,283</w:t>
            </w:r>
          </w:p>
        </w:tc>
      </w:tr>
    </w:tbl>
    <w:p w14:paraId="56242C67" w14:textId="77777777" w:rsidR="00A3720E" w:rsidRDefault="00A3720E" w:rsidP="009E56D9">
      <w:pPr>
        <w:ind w:firstLine="360"/>
      </w:pPr>
    </w:p>
    <w:p w14:paraId="3E27A226" w14:textId="6ABE1E6C" w:rsidR="00CD50EE" w:rsidRDefault="004B3B98" w:rsidP="009E56D9">
      <w:pPr>
        <w:ind w:firstLine="360"/>
      </w:pPr>
      <w:r>
        <w:t xml:space="preserve"> Portanto, para os solos analisados, o fator de pH e saturaç</w:t>
      </w:r>
      <w:r w:rsidR="00336A14">
        <w:t>ão por bases é importante, mas</w:t>
      </w:r>
      <w:r>
        <w:t xml:space="preserve"> deve ser aceita uma margem mais flexível para solos com altos teores de matéria orgânica</w:t>
      </w:r>
      <w:r w:rsidR="00CD50EE">
        <w:t xml:space="preserve">. </w:t>
      </w:r>
      <w:r w:rsidR="00970FE5">
        <w:t xml:space="preserve"> </w:t>
      </w:r>
    </w:p>
    <w:p w14:paraId="4E796631" w14:textId="4E099536" w:rsidR="00A3720E" w:rsidRDefault="00A3720E">
      <w:pPr>
        <w:spacing w:line="240" w:lineRule="auto"/>
        <w:jc w:val="left"/>
        <w:rPr>
          <w:rFonts w:eastAsiaTheme="majorEastAsia" w:cstheme="majorBidi"/>
          <w:color w:val="000000" w:themeColor="text1"/>
          <w:szCs w:val="32"/>
        </w:rPr>
      </w:pPr>
    </w:p>
    <w:p w14:paraId="77C01F78" w14:textId="77777777" w:rsidR="00681862" w:rsidRDefault="00681862" w:rsidP="00681862">
      <w:pPr>
        <w:pStyle w:val="Ttulo1"/>
        <w:jc w:val="both"/>
      </w:pPr>
    </w:p>
    <w:p w14:paraId="01100906" w14:textId="382BEA8F" w:rsidR="00B6426E" w:rsidRDefault="000A5758" w:rsidP="000A5758">
      <w:pPr>
        <w:pStyle w:val="Ttulo1"/>
        <w:numPr>
          <w:ilvl w:val="0"/>
          <w:numId w:val="2"/>
        </w:numPr>
      </w:pPr>
      <w:bookmarkStart w:id="19" w:name="_Toc487108334"/>
      <w:r>
        <w:t>CO</w:t>
      </w:r>
      <w:bookmarkEnd w:id="19"/>
      <w:r w:rsidR="00B72627">
        <w:t>NSIDERAÇÕES FINAIS</w:t>
      </w:r>
    </w:p>
    <w:p w14:paraId="53394093" w14:textId="77777777" w:rsidR="00B72627" w:rsidRPr="00B72627" w:rsidRDefault="00B72627" w:rsidP="00B72627"/>
    <w:p w14:paraId="2EBB8648" w14:textId="33AA56A0" w:rsidR="00B72627" w:rsidRDefault="007307D9" w:rsidP="00B72627">
      <w:pPr>
        <w:ind w:firstLine="360"/>
      </w:pPr>
      <w:r>
        <w:t>Os tratamentos foram</w:t>
      </w:r>
      <w:r w:rsidR="00B72627">
        <w:t xml:space="preserve"> suficientes para elevar o pH e a saturação por bases em 20 dias. Ao mesmo tempo não houve diferenças entre as performances química dos tratamentos</w:t>
      </w:r>
      <w:r>
        <w:t>,</w:t>
      </w:r>
      <w:r w:rsidR="00B72627">
        <w:t xml:space="preserve"> nessas condições</w:t>
      </w:r>
      <w:r w:rsidR="00F201AE">
        <w:t xml:space="preserve"> experimentadas</w:t>
      </w:r>
      <w:r w:rsidR="00B72627">
        <w:t xml:space="preserve">. Entretanto, o custo benefício do calcário </w:t>
      </w:r>
      <w:proofErr w:type="spellStart"/>
      <w:r w:rsidR="00B72627">
        <w:t>dolomítico</w:t>
      </w:r>
      <w:proofErr w:type="spellEnd"/>
      <w:r w:rsidR="00B72627">
        <w:t xml:space="preserve"> foi </w:t>
      </w:r>
      <w:bookmarkStart w:id="20" w:name="_GoBack"/>
      <w:bookmarkEnd w:id="20"/>
      <w:r w:rsidR="00B72627">
        <w:t>melhor em relação a cal virgem para a safra 2016</w:t>
      </w:r>
      <w:r w:rsidR="00B72627" w:rsidRPr="00B72627">
        <w:t>/17.</w:t>
      </w:r>
      <w:r>
        <w:t xml:space="preserve"> </w:t>
      </w:r>
    </w:p>
    <w:p w14:paraId="358B5BE2" w14:textId="77777777" w:rsidR="007307D9" w:rsidRPr="00B72627" w:rsidRDefault="007307D9" w:rsidP="00B72627">
      <w:pPr>
        <w:ind w:firstLine="360"/>
      </w:pPr>
    </w:p>
    <w:p w14:paraId="238A789E" w14:textId="7A407C59" w:rsidR="00064DF6" w:rsidRDefault="00064DF6" w:rsidP="00107556">
      <w:pPr>
        <w:tabs>
          <w:tab w:val="left" w:pos="0"/>
        </w:tabs>
        <w:spacing w:line="240" w:lineRule="auto"/>
        <w:jc w:val="left"/>
      </w:pPr>
    </w:p>
    <w:p w14:paraId="5042E614" w14:textId="77777777" w:rsidR="00ED1C9B" w:rsidRDefault="00ED1C9B" w:rsidP="00064DF6">
      <w:pPr>
        <w:ind w:firstLine="360"/>
      </w:pPr>
    </w:p>
    <w:p w14:paraId="7BC6EC44" w14:textId="1962EFE8" w:rsidR="00ED1C9B" w:rsidRDefault="009E3FB1" w:rsidP="00B701CE">
      <w:pPr>
        <w:spacing w:line="240" w:lineRule="auto"/>
        <w:jc w:val="left"/>
      </w:pPr>
      <w:r>
        <w:br w:type="page"/>
      </w:r>
    </w:p>
    <w:p w14:paraId="2602DBE5" w14:textId="336994C9" w:rsidR="000A5758" w:rsidRDefault="000A5758" w:rsidP="000A5758">
      <w:pPr>
        <w:pStyle w:val="Ttulo1"/>
        <w:numPr>
          <w:ilvl w:val="0"/>
          <w:numId w:val="2"/>
        </w:numPr>
      </w:pPr>
      <w:bookmarkStart w:id="21" w:name="_Toc487108335"/>
      <w:r>
        <w:lastRenderedPageBreak/>
        <w:t>REFERÊNCIAS</w:t>
      </w:r>
      <w:bookmarkEnd w:id="21"/>
    </w:p>
    <w:p w14:paraId="44DA652D" w14:textId="77777777" w:rsidR="00903BFA" w:rsidRDefault="00903BFA" w:rsidP="00903BFA"/>
    <w:p w14:paraId="09685482" w14:textId="77777777" w:rsidR="00903BFA" w:rsidRPr="00903BFA" w:rsidRDefault="00903BFA" w:rsidP="00903BFA"/>
    <w:p w14:paraId="155C8676" w14:textId="77777777" w:rsidR="00903BFA" w:rsidRDefault="00903BFA" w:rsidP="007C4132">
      <w:pPr>
        <w:jc w:val="left"/>
      </w:pPr>
      <w:r w:rsidRPr="00903BFA">
        <w:t xml:space="preserve">AMARAL, 2001; Alteração de parâmetros químicos do solo pela reaplicação superficial de calcário no sistema plantio direto, Pesquisa Agropecuária Brasileira, Brasília, v. 36, n. 4, p.695-702, abr. 2001. </w:t>
      </w:r>
    </w:p>
    <w:p w14:paraId="5F8C4B04" w14:textId="77777777" w:rsidR="004C17DE" w:rsidRDefault="004C17DE" w:rsidP="007C4132">
      <w:pPr>
        <w:jc w:val="left"/>
      </w:pPr>
    </w:p>
    <w:p w14:paraId="6B657559" w14:textId="77777777" w:rsidR="004C17DE" w:rsidRDefault="004C17DE" w:rsidP="007C4132">
      <w:pPr>
        <w:jc w:val="left"/>
      </w:pPr>
      <w:r w:rsidRPr="004C17DE">
        <w:t xml:space="preserve">CAIRES, E.F.; BANZATTO, D.A. &amp; FONSECA, A.F. Calagem na superfície em sistema plantio direto. R. Bras. </w:t>
      </w:r>
      <w:proofErr w:type="spellStart"/>
      <w:r w:rsidRPr="004C17DE">
        <w:t>Ci</w:t>
      </w:r>
      <w:proofErr w:type="spellEnd"/>
      <w:r w:rsidRPr="004C17DE">
        <w:t>. Solo, 24:161-169, 2000.</w:t>
      </w:r>
    </w:p>
    <w:p w14:paraId="2426D356" w14:textId="77777777" w:rsidR="004C17DE" w:rsidRDefault="004C17DE" w:rsidP="007C4132">
      <w:pPr>
        <w:jc w:val="left"/>
      </w:pPr>
    </w:p>
    <w:p w14:paraId="00865FE4" w14:textId="6C9131C6" w:rsidR="004C17DE" w:rsidRDefault="004C17DE" w:rsidP="007C4132">
      <w:pPr>
        <w:jc w:val="left"/>
      </w:pPr>
      <w:r w:rsidRPr="004C17DE">
        <w:t xml:space="preserve">CHAVES, J.C.D. &amp; CALEGARI, A. Adubação verde e rotação de culturas. Inf. </w:t>
      </w:r>
      <w:proofErr w:type="spellStart"/>
      <w:r w:rsidRPr="004C17DE">
        <w:t>Agropec</w:t>
      </w:r>
      <w:proofErr w:type="spellEnd"/>
      <w:r w:rsidRPr="004C17DE">
        <w:t>., 22:53-60, 2001.</w:t>
      </w:r>
    </w:p>
    <w:p w14:paraId="192F5F5C" w14:textId="77777777" w:rsidR="004C17DE" w:rsidRDefault="004C17DE" w:rsidP="007C4132">
      <w:pPr>
        <w:jc w:val="left"/>
      </w:pPr>
    </w:p>
    <w:p w14:paraId="496A0B96" w14:textId="29349DFE" w:rsidR="004C17DE" w:rsidRDefault="004A3664" w:rsidP="007C4132">
      <w:pPr>
        <w:jc w:val="left"/>
      </w:pPr>
      <w:r w:rsidRPr="004A3664">
        <w:t>CÍCERO, S.M.; et al., A fertilidade do solo e sua relação com a produção, o peso e a composição química das sementes de milho. Pesquisa Agropecuária Brasileira, Brasília, v. 16, n. 5, p.627-631, 1981a.</w:t>
      </w:r>
    </w:p>
    <w:p w14:paraId="629DDD28" w14:textId="77777777" w:rsidR="004A3664" w:rsidRDefault="004A3664" w:rsidP="007C4132">
      <w:pPr>
        <w:jc w:val="left"/>
      </w:pPr>
    </w:p>
    <w:p w14:paraId="5D3A3719" w14:textId="6EEB0191" w:rsidR="004A3664" w:rsidRDefault="004A3664" w:rsidP="007C4132">
      <w:pPr>
        <w:jc w:val="left"/>
      </w:pPr>
      <w:r w:rsidRPr="004A3664">
        <w:t xml:space="preserve">CIOTTA, M.N.; </w:t>
      </w:r>
      <w:proofErr w:type="gramStart"/>
      <w:r w:rsidRPr="004A3664">
        <w:t>BAYER,C.</w:t>
      </w:r>
      <w:proofErr w:type="gramEnd"/>
      <w:r w:rsidRPr="004A3664">
        <w:t xml:space="preserve">; ERNANI, P.R; FONTOURA, S.M.V.; WOBETO, C. &amp; ALBURQUERQUE, J.A. Manejo da calagem e os componentes da acidez de </w:t>
      </w:r>
      <w:proofErr w:type="spellStart"/>
      <w:r w:rsidRPr="004A3664">
        <w:t>Latossolo</w:t>
      </w:r>
      <w:proofErr w:type="spellEnd"/>
      <w:r w:rsidRPr="004A3664">
        <w:t xml:space="preserve"> Bruno em plantio direto. R. Bras. </w:t>
      </w:r>
      <w:proofErr w:type="spellStart"/>
      <w:r w:rsidRPr="004A3664">
        <w:t>Ci</w:t>
      </w:r>
      <w:proofErr w:type="spellEnd"/>
      <w:r w:rsidRPr="004A3664">
        <w:t>. Solo, 28:317-326, 2004</w:t>
      </w:r>
      <w:r>
        <w:t>.</w:t>
      </w:r>
    </w:p>
    <w:p w14:paraId="274AA349" w14:textId="77777777" w:rsidR="00C26BBE" w:rsidRDefault="00C26BBE" w:rsidP="007C4132">
      <w:pPr>
        <w:jc w:val="left"/>
      </w:pPr>
    </w:p>
    <w:p w14:paraId="4547CF5D" w14:textId="088EB943" w:rsidR="004A3664" w:rsidRDefault="00C26BBE" w:rsidP="00C26BBE">
      <w:pPr>
        <w:jc w:val="left"/>
      </w:pPr>
      <w:r>
        <w:t xml:space="preserve">COELHO, V. H. R. et al. Dinâmica do uso e ocupação do solo em uma bacia hidrográfica do semiárido brasileiro. </w:t>
      </w:r>
      <w:r w:rsidRPr="00C26BBE">
        <w:t>Revista Brasileira de Engenharia Agrícola e Ambiental</w:t>
      </w:r>
      <w:r>
        <w:t xml:space="preserve">, </w:t>
      </w:r>
      <w:r w:rsidRPr="00C26BBE">
        <w:t>v.18, n.1, p.64-72, 2014</w:t>
      </w:r>
      <w:r>
        <w:t>.</w:t>
      </w:r>
    </w:p>
    <w:p w14:paraId="7566FA63" w14:textId="77777777" w:rsidR="00C26BBE" w:rsidRDefault="00C26BBE" w:rsidP="007C4132">
      <w:pPr>
        <w:jc w:val="left"/>
      </w:pPr>
    </w:p>
    <w:p w14:paraId="48A80F43" w14:textId="056DABDD" w:rsidR="004A3664" w:rsidRDefault="004A3664" w:rsidP="007C4132">
      <w:pPr>
        <w:jc w:val="left"/>
      </w:pPr>
      <w:r w:rsidRPr="004A3664">
        <w:t xml:space="preserve">COMISSÃO DE QUÍMICA E FERTILIDADE DO SOLO - CQFSRS/SC. Manual de </w:t>
      </w:r>
      <w:proofErr w:type="spellStart"/>
      <w:r w:rsidRPr="004A3664">
        <w:t>adubação</w:t>
      </w:r>
      <w:proofErr w:type="spellEnd"/>
      <w:r w:rsidRPr="004A3664">
        <w:t xml:space="preserve"> e de calagem para os estados do Rio Grande do Sul e de Santa Catarina. 10.ed. Porto Alegre, Sociedade Brasileira de </w:t>
      </w:r>
      <w:proofErr w:type="spellStart"/>
      <w:r w:rsidRPr="004A3664">
        <w:t>Ciência</w:t>
      </w:r>
      <w:proofErr w:type="spellEnd"/>
      <w:r w:rsidRPr="004A3664">
        <w:t xml:space="preserve"> do Solo, </w:t>
      </w:r>
      <w:proofErr w:type="spellStart"/>
      <w:r w:rsidRPr="004A3664">
        <w:t>Núcleo</w:t>
      </w:r>
      <w:proofErr w:type="spellEnd"/>
      <w:r w:rsidRPr="004A3664">
        <w:t xml:space="preserve"> Regional Sul, </w:t>
      </w:r>
      <w:r>
        <w:t xml:space="preserve">2004. </w:t>
      </w:r>
    </w:p>
    <w:p w14:paraId="54A29139" w14:textId="77777777" w:rsidR="004A3664" w:rsidRDefault="004A3664" w:rsidP="007C4132">
      <w:pPr>
        <w:jc w:val="left"/>
      </w:pPr>
    </w:p>
    <w:p w14:paraId="5B66DE7A" w14:textId="1D189F43" w:rsidR="004A3664" w:rsidRDefault="004A3664" w:rsidP="007C4132">
      <w:pPr>
        <w:jc w:val="left"/>
      </w:pPr>
      <w:r w:rsidRPr="004A3664">
        <w:t>CONAB - Companhia Nacional de Abastecimento. Acompanhamento da safra brasileira</w:t>
      </w:r>
      <w:r w:rsidRPr="004A3664">
        <w:rPr>
          <w:rFonts w:ascii="MS Mincho" w:eastAsia="MS Mincho" w:hAnsi="MS Mincho" w:cs="MS Mincho"/>
        </w:rPr>
        <w:t> </w:t>
      </w:r>
      <w:proofErr w:type="gramStart"/>
      <w:r w:rsidRPr="004A3664">
        <w:t>de</w:t>
      </w:r>
      <w:proofErr w:type="gramEnd"/>
      <w:r w:rsidRPr="004A3664">
        <w:t xml:space="preserve"> grãos. – </w:t>
      </w:r>
      <w:proofErr w:type="gramStart"/>
      <w:r w:rsidRPr="004A3664">
        <w:t>v.</w:t>
      </w:r>
      <w:proofErr w:type="gramEnd"/>
      <w:r w:rsidRPr="004A3664">
        <w:t xml:space="preserve"> 4, n.9 – Nono Levantamento, jun. 2016. Disponível em http://www.conab.gov.br/, </w:t>
      </w:r>
      <w:proofErr w:type="gramStart"/>
      <w:r w:rsidRPr="004A3664">
        <w:t>Acesso</w:t>
      </w:r>
      <w:proofErr w:type="gramEnd"/>
      <w:r w:rsidRPr="004A3664">
        <w:t xml:space="preserve"> em: 09/06/2017.</w:t>
      </w:r>
    </w:p>
    <w:p w14:paraId="7BAA2746" w14:textId="77777777" w:rsidR="004A3664" w:rsidRDefault="004A3664" w:rsidP="007C4132">
      <w:pPr>
        <w:jc w:val="left"/>
      </w:pPr>
    </w:p>
    <w:p w14:paraId="49B19407" w14:textId="6B57350A" w:rsidR="004A3664" w:rsidRDefault="004A3664" w:rsidP="007C4132">
      <w:pPr>
        <w:jc w:val="left"/>
      </w:pPr>
      <w:r w:rsidRPr="004A3664">
        <w:lastRenderedPageBreak/>
        <w:t>EMPRESA BRASILEIRA DE PESQUISA AGROPECUÁRIA (Embrapa). Sistema brasileiro de classificação de solos. 3. ed. Rio de Janeiro: Embrapa Solos, 2013.</w:t>
      </w:r>
    </w:p>
    <w:p w14:paraId="0B9A9E99" w14:textId="77777777" w:rsidR="004A3664" w:rsidRDefault="004A3664" w:rsidP="007C4132">
      <w:pPr>
        <w:jc w:val="left"/>
      </w:pPr>
    </w:p>
    <w:p w14:paraId="45C2FEAA" w14:textId="293E202E" w:rsidR="004A3664" w:rsidRDefault="004A3664" w:rsidP="007C4132">
      <w:pPr>
        <w:jc w:val="left"/>
      </w:pPr>
      <w:r w:rsidRPr="004A3664">
        <w:t>ERNANI, P.R., NASCIMENTO, J.A., CAMPOS, M.L. O</w:t>
      </w:r>
      <w:r>
        <w:t xml:space="preserve"> </w:t>
      </w:r>
      <w:r w:rsidRPr="004A3664">
        <w:t xml:space="preserve">aumento do fósforo no solo diminui a </w:t>
      </w:r>
      <w:proofErr w:type="spellStart"/>
      <w:r w:rsidRPr="004A3664">
        <w:t>fitotoxicidade</w:t>
      </w:r>
      <w:proofErr w:type="spellEnd"/>
      <w:r w:rsidRPr="004A3664">
        <w:t xml:space="preserve"> do</w:t>
      </w:r>
      <w:r>
        <w:t xml:space="preserve"> </w:t>
      </w:r>
      <w:r w:rsidRPr="004A3664">
        <w:t>alumínio. In: XXVI CONGRESSO BRASILEIRO DECIÊNCIA DO SOLO, 1997. Rio de Janeiro, RJ. Anais... Rio</w:t>
      </w:r>
      <w:r>
        <w:t xml:space="preserve"> </w:t>
      </w:r>
      <w:r w:rsidRPr="004A3664">
        <w:t xml:space="preserve">de Janeiro: Soc. Bras. </w:t>
      </w:r>
      <w:proofErr w:type="gramStart"/>
      <w:r w:rsidRPr="004A3664">
        <w:t>de</w:t>
      </w:r>
      <w:proofErr w:type="gramEnd"/>
      <w:r w:rsidRPr="004A3664">
        <w:t xml:space="preserve"> Ciência do Solo, 1997.</w:t>
      </w:r>
    </w:p>
    <w:p w14:paraId="29FAC315" w14:textId="77777777" w:rsidR="004A3664" w:rsidRDefault="004A3664" w:rsidP="007C4132">
      <w:pPr>
        <w:jc w:val="left"/>
      </w:pPr>
    </w:p>
    <w:p w14:paraId="41A031B5" w14:textId="525F382C" w:rsidR="004A3664" w:rsidRDefault="004A3664" w:rsidP="007C4132">
      <w:pPr>
        <w:jc w:val="left"/>
      </w:pPr>
      <w:r w:rsidRPr="004A3664">
        <w:t>FAGERIA, N. K. Efeito da calagem na produção de arroz, feijão, milho e soja em solo de Cerrado. Pesquisa Agropecuária Brasileira, Brasília, DF, v. 36, n. 11, p. 1419- 1424, 2001.</w:t>
      </w:r>
    </w:p>
    <w:p w14:paraId="141AC0F7" w14:textId="77777777" w:rsidR="004A3664" w:rsidRDefault="004A3664" w:rsidP="007C4132">
      <w:pPr>
        <w:jc w:val="left"/>
      </w:pPr>
    </w:p>
    <w:p w14:paraId="61699061" w14:textId="13731D94" w:rsidR="004A3664" w:rsidRDefault="004A3664" w:rsidP="007C4132">
      <w:pPr>
        <w:jc w:val="left"/>
      </w:pPr>
      <w:r w:rsidRPr="004A3664">
        <w:t xml:space="preserve">FAGERIA, N. K. Resposta de arroz de terras altas, feijão, milho e soja à saturação por base em solo de cerrado. Rev. bras. eng. </w:t>
      </w:r>
      <w:proofErr w:type="spellStart"/>
      <w:r w:rsidRPr="004A3664">
        <w:t>agríc</w:t>
      </w:r>
      <w:proofErr w:type="spellEnd"/>
      <w:r w:rsidRPr="004A3664">
        <w:t xml:space="preserve">. </w:t>
      </w:r>
      <w:proofErr w:type="spellStart"/>
      <w:proofErr w:type="gramStart"/>
      <w:r w:rsidRPr="004A3664">
        <w:t>ambient</w:t>
      </w:r>
      <w:proofErr w:type="spellEnd"/>
      <w:proofErr w:type="gramEnd"/>
      <w:r w:rsidRPr="004A3664">
        <w:t>.,  Campina Grande ,  v. 5</w:t>
      </w:r>
      <w:r>
        <w:t>, n. 3, p. 416-424,  Dec.  2001</w:t>
      </w:r>
      <w:r w:rsidRPr="004A3664">
        <w:t>.</w:t>
      </w:r>
    </w:p>
    <w:p w14:paraId="47AC64E9" w14:textId="77777777" w:rsidR="007C4132" w:rsidRDefault="007C4132" w:rsidP="007C4132">
      <w:pPr>
        <w:jc w:val="left"/>
      </w:pPr>
    </w:p>
    <w:p w14:paraId="086AF0D3" w14:textId="7076CE24" w:rsidR="007C4132" w:rsidRDefault="007C4132" w:rsidP="007C4132">
      <w:pPr>
        <w:jc w:val="left"/>
      </w:pPr>
      <w:r>
        <w:t>FANCELI, A. L.; D. DOURADO NETO. Produção de milho. Guaíba:</w:t>
      </w:r>
    </w:p>
    <w:p w14:paraId="404AD5A2" w14:textId="09A582BB" w:rsidR="004A3664" w:rsidRDefault="007C4132" w:rsidP="007C4132">
      <w:pPr>
        <w:jc w:val="left"/>
      </w:pPr>
      <w:r>
        <w:t>2.ed., Agropecuária. 2008. 360p.</w:t>
      </w:r>
    </w:p>
    <w:p w14:paraId="2D94FCA1" w14:textId="77777777" w:rsidR="007C4132" w:rsidRDefault="007C4132" w:rsidP="007C4132">
      <w:pPr>
        <w:jc w:val="left"/>
      </w:pPr>
    </w:p>
    <w:p w14:paraId="4F655F26" w14:textId="7AA9B8A0" w:rsidR="004A3664" w:rsidRDefault="00C26BBE" w:rsidP="007C4132">
      <w:pPr>
        <w:jc w:val="left"/>
      </w:pPr>
      <w:r>
        <w:t>GONÇALVEZ</w:t>
      </w:r>
      <w:r w:rsidR="004A3664" w:rsidRPr="004A3664">
        <w:t xml:space="preserve"> JRP, Moreira A, </w:t>
      </w:r>
      <w:proofErr w:type="spellStart"/>
      <w:r w:rsidR="004A3664" w:rsidRPr="004A3664">
        <w:t>Büll</w:t>
      </w:r>
      <w:proofErr w:type="spellEnd"/>
      <w:r w:rsidR="004A3664" w:rsidRPr="004A3664">
        <w:t xml:space="preserve"> LT, </w:t>
      </w:r>
      <w:proofErr w:type="spellStart"/>
      <w:r w:rsidR="004A3664" w:rsidRPr="004A3664">
        <w:t>Crusciol</w:t>
      </w:r>
      <w:proofErr w:type="spellEnd"/>
      <w:r w:rsidR="004A3664" w:rsidRPr="004A3664">
        <w:t xml:space="preserve"> CAC, Villas Boas RL. Granulometria e doses de calcário em diferentes sistemas de manejo. Acta </w:t>
      </w:r>
      <w:proofErr w:type="spellStart"/>
      <w:r w:rsidR="004A3664" w:rsidRPr="004A3664">
        <w:t>Sci</w:t>
      </w:r>
      <w:proofErr w:type="spellEnd"/>
      <w:r w:rsidR="004A3664" w:rsidRPr="004A3664">
        <w:t xml:space="preserve"> Agron. </w:t>
      </w:r>
      <w:proofErr w:type="gramStart"/>
      <w:r w:rsidR="004A3664" w:rsidRPr="004A3664">
        <w:t>2011;33:369</w:t>
      </w:r>
      <w:proofErr w:type="gramEnd"/>
      <w:r w:rsidR="004A3664" w:rsidRPr="004A3664">
        <w:t>-75.</w:t>
      </w:r>
    </w:p>
    <w:p w14:paraId="7F0017DB" w14:textId="77777777" w:rsidR="004A3664" w:rsidRDefault="004A3664" w:rsidP="007C4132">
      <w:pPr>
        <w:jc w:val="left"/>
      </w:pPr>
    </w:p>
    <w:p w14:paraId="7F7EA4E1" w14:textId="028407B2" w:rsidR="004A3664" w:rsidRDefault="004A3664" w:rsidP="007C4132">
      <w:pPr>
        <w:jc w:val="left"/>
      </w:pPr>
      <w:r w:rsidRPr="004A3664">
        <w:t xml:space="preserve">MELLO, F.A.F.; SOBRINHO, M. de O.C. do B.; ARZOLLA, S.; SILVEIRA, R.I.; COBRA NETTO, A. &amp; KIEHL, J.C. Fertilidade do solo. 4.ed., </w:t>
      </w:r>
      <w:proofErr w:type="spellStart"/>
      <w:r w:rsidRPr="004A3664">
        <w:t>São</w:t>
      </w:r>
      <w:proofErr w:type="spellEnd"/>
      <w:r w:rsidRPr="004A3664">
        <w:t xml:space="preserve"> Paulo: Nobel, 1983. 400p.</w:t>
      </w:r>
    </w:p>
    <w:p w14:paraId="1E27E1DA" w14:textId="77777777" w:rsidR="004A3664" w:rsidRDefault="004A3664" w:rsidP="007C4132">
      <w:pPr>
        <w:jc w:val="left"/>
      </w:pPr>
    </w:p>
    <w:p w14:paraId="5120A79E" w14:textId="77777777" w:rsidR="004A3664" w:rsidRDefault="004A3664" w:rsidP="007C4132">
      <w:pPr>
        <w:jc w:val="left"/>
      </w:pPr>
    </w:p>
    <w:p w14:paraId="6CCB3B3A" w14:textId="77777777" w:rsidR="004A3664" w:rsidRDefault="004A3664" w:rsidP="007C4132">
      <w:pPr>
        <w:jc w:val="left"/>
      </w:pPr>
      <w:r>
        <w:t xml:space="preserve">MONTEZANO, Z. F. </w:t>
      </w:r>
      <w:proofErr w:type="spellStart"/>
      <w:r>
        <w:t>Aplicação</w:t>
      </w:r>
      <w:proofErr w:type="spellEnd"/>
      <w:r>
        <w:t xml:space="preserve"> de doses de </w:t>
      </w:r>
      <w:proofErr w:type="spellStart"/>
      <w:r>
        <w:t>calcário</w:t>
      </w:r>
      <w:proofErr w:type="spellEnd"/>
      <w:r>
        <w:t xml:space="preserve"> em </w:t>
      </w:r>
      <w:proofErr w:type="spellStart"/>
      <w:r>
        <w:t>área</w:t>
      </w:r>
      <w:proofErr w:type="spellEnd"/>
      <w:r>
        <w:t xml:space="preserve"> de </w:t>
      </w:r>
      <w:proofErr w:type="spellStart"/>
      <w:r>
        <w:t>rotação</w:t>
      </w:r>
      <w:proofErr w:type="spellEnd"/>
      <w:r>
        <w:t xml:space="preserve"> soja-milho em plantio direto no Cerrado para fins de </w:t>
      </w:r>
      <w:proofErr w:type="spellStart"/>
      <w:r>
        <w:t>definição</w:t>
      </w:r>
      <w:proofErr w:type="spellEnd"/>
      <w:r>
        <w:t xml:space="preserve"> de doses variadas. 2009. 110 f. Tese (Doutorado em Agronomia) - Escola Superior de Agricultura Luiz de Queiroz, Universidade de </w:t>
      </w:r>
      <w:proofErr w:type="spellStart"/>
      <w:r>
        <w:t>São</w:t>
      </w:r>
      <w:proofErr w:type="spellEnd"/>
      <w:r>
        <w:t xml:space="preserve"> Paulo, Piracicaba, 2009.</w:t>
      </w:r>
    </w:p>
    <w:p w14:paraId="527518E7" w14:textId="77777777" w:rsidR="004A3664" w:rsidRDefault="004A3664" w:rsidP="007C4132">
      <w:pPr>
        <w:jc w:val="left"/>
      </w:pPr>
    </w:p>
    <w:p w14:paraId="4BAC1050" w14:textId="266D8431" w:rsidR="004A3664" w:rsidRDefault="004A3664" w:rsidP="007C4132">
      <w:pPr>
        <w:jc w:val="left"/>
      </w:pPr>
      <w:r w:rsidRPr="004A3664">
        <w:lastRenderedPageBreak/>
        <w:t xml:space="preserve">PÁDUA, T.R.P.; SILVA, C.A. &amp; DIAS, B.O. Nutrição </w:t>
      </w:r>
      <w:proofErr w:type="spellStart"/>
      <w:r w:rsidRPr="004A3664">
        <w:t>ecrescimento</w:t>
      </w:r>
      <w:proofErr w:type="spellEnd"/>
      <w:r w:rsidRPr="004A3664">
        <w:t xml:space="preserve"> do algodoeiro em </w:t>
      </w:r>
      <w:proofErr w:type="spellStart"/>
      <w:r w:rsidRPr="004A3664">
        <w:t>Latossolo</w:t>
      </w:r>
      <w:proofErr w:type="spellEnd"/>
      <w:r w:rsidRPr="004A3664">
        <w:t xml:space="preserve"> sob </w:t>
      </w:r>
      <w:proofErr w:type="spellStart"/>
      <w:r w:rsidRPr="004A3664">
        <w:t>diferentescoberturas</w:t>
      </w:r>
      <w:proofErr w:type="spellEnd"/>
      <w:r w:rsidRPr="004A3664">
        <w:t xml:space="preserve"> vegetais e manejo de calagem. </w:t>
      </w:r>
      <w:proofErr w:type="spellStart"/>
      <w:r w:rsidRPr="004A3664">
        <w:t>Ci</w:t>
      </w:r>
      <w:proofErr w:type="spellEnd"/>
      <w:r w:rsidRPr="004A3664">
        <w:t>. Agrotec.,32:1481-1490, 2008.</w:t>
      </w:r>
    </w:p>
    <w:p w14:paraId="71492C3C" w14:textId="77777777" w:rsidR="004A3664" w:rsidRDefault="004A3664" w:rsidP="007C4132">
      <w:pPr>
        <w:jc w:val="left"/>
      </w:pPr>
    </w:p>
    <w:p w14:paraId="1F32DD3B" w14:textId="3E81C20D" w:rsidR="004A3664" w:rsidRDefault="00064C99" w:rsidP="007C4132">
      <w:pPr>
        <w:jc w:val="left"/>
      </w:pPr>
      <w:r>
        <w:t>PRIMAVESI, A. C.</w:t>
      </w:r>
      <w:r w:rsidR="004A3664" w:rsidRPr="004A3664">
        <w:t>;</w:t>
      </w:r>
      <w:r>
        <w:t xml:space="preserve"> PRIMAVESI O.;</w:t>
      </w:r>
      <w:r w:rsidR="004A3664" w:rsidRPr="004A3664">
        <w:t xml:space="preserve"> Características de corretivos a</w:t>
      </w:r>
      <w:r>
        <w:t>grícolas.</w:t>
      </w:r>
      <w:r w:rsidR="00EA2C39" w:rsidRPr="00EA2C39">
        <w:t xml:space="preserve"> </w:t>
      </w:r>
      <w:r w:rsidR="00EA2C39">
        <w:t>Documentos, 37; São Carlos: Embrapa Pecuária Sudeste</w:t>
      </w:r>
      <w:r>
        <w:t>, 2006.</w:t>
      </w:r>
    </w:p>
    <w:p w14:paraId="6F70502B" w14:textId="77777777" w:rsidR="004A3664" w:rsidRDefault="004A3664" w:rsidP="007C4132">
      <w:pPr>
        <w:jc w:val="left"/>
      </w:pPr>
    </w:p>
    <w:p w14:paraId="42C06307" w14:textId="6EA2B94F" w:rsidR="004A3664" w:rsidRDefault="004A3664" w:rsidP="007C4132">
      <w:pPr>
        <w:jc w:val="left"/>
      </w:pPr>
      <w:r w:rsidRPr="004A3664">
        <w:t xml:space="preserve">RAMOS, L.A.; NOLLA, A.; KORNDÖRFER, G.H.; PEREIRA, H.S.; CAMARGO, M.S. Reatividade de corretivos da acidez e condicionadores de solo em colunas de </w:t>
      </w:r>
      <w:proofErr w:type="spellStart"/>
      <w:r w:rsidRPr="004A3664">
        <w:t>lixiviação</w:t>
      </w:r>
      <w:proofErr w:type="spellEnd"/>
      <w:r w:rsidRPr="004A3664">
        <w:t xml:space="preserve">. Revista Brasileira de </w:t>
      </w:r>
      <w:proofErr w:type="spellStart"/>
      <w:r w:rsidRPr="004A3664">
        <w:t>Ciência</w:t>
      </w:r>
      <w:proofErr w:type="spellEnd"/>
      <w:r w:rsidRPr="004A3664">
        <w:t xml:space="preserve"> do Solo, v.30, p.849-857, 2006.</w:t>
      </w:r>
    </w:p>
    <w:p w14:paraId="73ABEDDA" w14:textId="77777777" w:rsidR="004A3664" w:rsidRDefault="004A3664" w:rsidP="007C4132">
      <w:pPr>
        <w:jc w:val="left"/>
      </w:pPr>
    </w:p>
    <w:p w14:paraId="25D0C29A" w14:textId="484E84DE" w:rsidR="004A3664" w:rsidRDefault="004A3664" w:rsidP="007C4132">
      <w:pPr>
        <w:jc w:val="left"/>
      </w:pPr>
      <w:r w:rsidRPr="004A3664">
        <w:t xml:space="preserve">RODRIGHERO, M. B. et al.; Aplicação Superficial de Calcário com diferentes teores de magnésio e granulometrias em sistema plantio direto. R. Bras. </w:t>
      </w:r>
      <w:proofErr w:type="spellStart"/>
      <w:r w:rsidRPr="004A3664">
        <w:t>Ci</w:t>
      </w:r>
      <w:proofErr w:type="spellEnd"/>
      <w:r w:rsidRPr="004A3664">
        <w:t>. Solo, 39:1723-1736, 2015.</w:t>
      </w:r>
    </w:p>
    <w:p w14:paraId="074C1F14" w14:textId="77777777" w:rsidR="004A3664" w:rsidRDefault="004A3664" w:rsidP="007C4132">
      <w:pPr>
        <w:jc w:val="left"/>
      </w:pPr>
    </w:p>
    <w:p w14:paraId="0E51015C" w14:textId="7A48BDC1" w:rsidR="004A3664" w:rsidRDefault="004A3664" w:rsidP="007C4132">
      <w:pPr>
        <w:jc w:val="left"/>
      </w:pPr>
      <w:r w:rsidRPr="004A3664">
        <w:t xml:space="preserve">RODRIGUES, R. C. </w:t>
      </w:r>
      <w:proofErr w:type="spellStart"/>
      <w:r w:rsidRPr="004A3664">
        <w:t>Calcário</w:t>
      </w:r>
      <w:proofErr w:type="spellEnd"/>
      <w:r w:rsidRPr="004A3664">
        <w:t xml:space="preserve">, </w:t>
      </w:r>
      <w:proofErr w:type="spellStart"/>
      <w:r w:rsidRPr="004A3664">
        <w:t>nitrogênio</w:t>
      </w:r>
      <w:proofErr w:type="spellEnd"/>
      <w:r w:rsidRPr="004A3664">
        <w:t xml:space="preserve"> e enxofre para a </w:t>
      </w:r>
      <w:proofErr w:type="spellStart"/>
      <w:r w:rsidRPr="004A3664">
        <w:t>recuperação</w:t>
      </w:r>
      <w:proofErr w:type="spellEnd"/>
      <w:r w:rsidRPr="004A3664">
        <w:t xml:space="preserve"> do capim- </w:t>
      </w:r>
      <w:proofErr w:type="spellStart"/>
      <w:r w:rsidRPr="004A3664">
        <w:t>braquiária</w:t>
      </w:r>
      <w:proofErr w:type="spellEnd"/>
      <w:r w:rsidRPr="004A3664">
        <w:t xml:space="preserve"> cultivado em solo proveniente de uma pastagem degradada. 2002. 141 f. </w:t>
      </w:r>
      <w:proofErr w:type="spellStart"/>
      <w:r w:rsidRPr="004A3664">
        <w:t>Dissertação</w:t>
      </w:r>
      <w:proofErr w:type="spellEnd"/>
      <w:r w:rsidRPr="004A3664">
        <w:t xml:space="preserve"> (Mestrado em Agronomia) - Escola Superior de Agricultura Luiz de Queiroz, Universidade de </w:t>
      </w:r>
      <w:proofErr w:type="spellStart"/>
      <w:r w:rsidRPr="004A3664">
        <w:t>São</w:t>
      </w:r>
      <w:proofErr w:type="spellEnd"/>
      <w:r w:rsidRPr="004A3664">
        <w:t xml:space="preserve"> Paulo Piracicaba, 2002.</w:t>
      </w:r>
    </w:p>
    <w:p w14:paraId="53A49DEE" w14:textId="77777777" w:rsidR="004A3664" w:rsidRDefault="004A3664" w:rsidP="007C4132">
      <w:pPr>
        <w:jc w:val="left"/>
      </w:pPr>
    </w:p>
    <w:p w14:paraId="6D4BA75F" w14:textId="52FF2027" w:rsidR="004A3664" w:rsidRDefault="004A3664" w:rsidP="007C4132">
      <w:pPr>
        <w:jc w:val="left"/>
      </w:pPr>
      <w:r w:rsidRPr="004A3664">
        <w:t xml:space="preserve">RONQUIM, C. C. Conceitos de fertilidade do solo e manejo adequado para as </w:t>
      </w:r>
      <w:proofErr w:type="spellStart"/>
      <w:r w:rsidRPr="004A3664">
        <w:t>regiões</w:t>
      </w:r>
      <w:proofErr w:type="spellEnd"/>
      <w:r w:rsidRPr="004A3664">
        <w:t xml:space="preserve"> tropicais. Campinas: Embrapa Monitoramento Por </w:t>
      </w:r>
      <w:proofErr w:type="spellStart"/>
      <w:r w:rsidRPr="004A3664">
        <w:t>Satélite</w:t>
      </w:r>
      <w:proofErr w:type="spellEnd"/>
      <w:r w:rsidRPr="004A3664">
        <w:t xml:space="preserve">. 2010, 28p. </w:t>
      </w:r>
    </w:p>
    <w:p w14:paraId="22FAAACD" w14:textId="77777777" w:rsidR="004A3664" w:rsidRDefault="004A3664" w:rsidP="007C4132">
      <w:pPr>
        <w:jc w:val="left"/>
      </w:pPr>
    </w:p>
    <w:p w14:paraId="7B1025C9" w14:textId="76121583" w:rsidR="004A3664" w:rsidRDefault="004A3664" w:rsidP="007C4132">
      <w:pPr>
        <w:jc w:val="left"/>
      </w:pPr>
      <w:r w:rsidRPr="004A3664">
        <w:t>SATO, O. Efeito da seleção de espigas e da debulha na qualidade física e fisiológica das sementes de milho (</w:t>
      </w:r>
      <w:proofErr w:type="spellStart"/>
      <w:r w:rsidRPr="004A3664">
        <w:t>Zea</w:t>
      </w:r>
      <w:proofErr w:type="spellEnd"/>
      <w:r w:rsidRPr="004A3664">
        <w:t xml:space="preserve"> </w:t>
      </w:r>
      <w:proofErr w:type="spellStart"/>
      <w:r w:rsidRPr="004A3664">
        <w:t>mays</w:t>
      </w:r>
      <w:proofErr w:type="spellEnd"/>
      <w:r w:rsidRPr="004A3664">
        <w:t xml:space="preserve"> L.). Piracicaba, 1991. 134p. Dissertação (Mestrado) – Escola Superior de Agricultura “Luiz de Queiroz”.</w:t>
      </w:r>
    </w:p>
    <w:p w14:paraId="2ED04C4F" w14:textId="77777777" w:rsidR="004A3664" w:rsidRDefault="004A3664" w:rsidP="007C4132">
      <w:pPr>
        <w:jc w:val="left"/>
      </w:pPr>
    </w:p>
    <w:p w14:paraId="080C4726" w14:textId="76FDFD34" w:rsidR="004A3664" w:rsidRDefault="00064C99" w:rsidP="007C4132">
      <w:pPr>
        <w:jc w:val="left"/>
      </w:pPr>
      <w:r w:rsidRPr="00064C99">
        <w:t xml:space="preserve">SILVA, F. C. de S. </w:t>
      </w:r>
      <w:proofErr w:type="spellStart"/>
      <w:r w:rsidRPr="00064C99">
        <w:t>Mensuração</w:t>
      </w:r>
      <w:proofErr w:type="spellEnd"/>
      <w:r w:rsidRPr="00064C99">
        <w:t xml:space="preserve"> direta do pH do solo em campo por meio de eletrodos </w:t>
      </w:r>
      <w:proofErr w:type="spellStart"/>
      <w:r w:rsidRPr="00064C99">
        <w:t>íon-seletivos</w:t>
      </w:r>
      <w:proofErr w:type="spellEnd"/>
      <w:r w:rsidRPr="00064C99">
        <w:t xml:space="preserve">. 2013. 102 f. </w:t>
      </w:r>
      <w:proofErr w:type="spellStart"/>
      <w:r w:rsidRPr="00064C99">
        <w:t>Dissertação</w:t>
      </w:r>
      <w:proofErr w:type="spellEnd"/>
      <w:r w:rsidRPr="00064C99">
        <w:t xml:space="preserve"> (Mestrado em </w:t>
      </w:r>
      <w:proofErr w:type="spellStart"/>
      <w:r w:rsidRPr="00064C99">
        <w:t>Ciências</w:t>
      </w:r>
      <w:proofErr w:type="spellEnd"/>
      <w:r w:rsidRPr="00064C99">
        <w:t xml:space="preserve">) - Escola Superior de Agricultura Luiz de Queiroz, Universidade de </w:t>
      </w:r>
      <w:proofErr w:type="spellStart"/>
      <w:r w:rsidRPr="00064C99">
        <w:t>São</w:t>
      </w:r>
      <w:proofErr w:type="spellEnd"/>
      <w:r w:rsidRPr="00064C99">
        <w:t xml:space="preserve"> Paulo, Piracicaba, 2013.</w:t>
      </w:r>
    </w:p>
    <w:p w14:paraId="08E7ACD4" w14:textId="77777777" w:rsidR="00064C99" w:rsidRDefault="00064C99" w:rsidP="007C4132">
      <w:pPr>
        <w:jc w:val="left"/>
      </w:pPr>
    </w:p>
    <w:p w14:paraId="3ADDFB16" w14:textId="7236A744" w:rsidR="00064C99" w:rsidRDefault="00064C99" w:rsidP="007C4132">
      <w:pPr>
        <w:jc w:val="left"/>
      </w:pPr>
      <w:r w:rsidRPr="00064C99">
        <w:lastRenderedPageBreak/>
        <w:t xml:space="preserve">SORATTO, R.P. &amp; CRUSCIOL, C.A.C. Atributos químicos do solo decorrentes da aplicação em superfície de calcário e gesso em sistema plantio direto recém-implantado. R. Bras. </w:t>
      </w:r>
      <w:proofErr w:type="spellStart"/>
      <w:r w:rsidRPr="00064C99">
        <w:t>Ci</w:t>
      </w:r>
      <w:proofErr w:type="spellEnd"/>
      <w:r w:rsidRPr="00064C99">
        <w:t>. Solo, 32:675-688, 2008.</w:t>
      </w:r>
    </w:p>
    <w:p w14:paraId="35BBCA26" w14:textId="77777777" w:rsidR="00064C99" w:rsidRDefault="00064C99" w:rsidP="007C4132">
      <w:pPr>
        <w:jc w:val="left"/>
      </w:pPr>
    </w:p>
    <w:p w14:paraId="0046E3C2" w14:textId="773C71C2" w:rsidR="00064C99" w:rsidRDefault="00064C99" w:rsidP="007C4132">
      <w:pPr>
        <w:jc w:val="left"/>
      </w:pPr>
      <w:r w:rsidRPr="00064C99">
        <w:t xml:space="preserve">SOUZA H.A. de.; NATALE W.; ROZANE D.E., HERNANDES A.; ROMUALDO L.M. Calagem e </w:t>
      </w:r>
      <w:proofErr w:type="spellStart"/>
      <w:r w:rsidRPr="00064C99">
        <w:t>adubação</w:t>
      </w:r>
      <w:proofErr w:type="spellEnd"/>
      <w:r w:rsidRPr="00064C99">
        <w:t xml:space="preserve"> </w:t>
      </w:r>
      <w:proofErr w:type="spellStart"/>
      <w:r w:rsidRPr="00064C99">
        <w:t>boratada</w:t>
      </w:r>
      <w:proofErr w:type="spellEnd"/>
      <w:r w:rsidRPr="00064C99">
        <w:t xml:space="preserve"> na </w:t>
      </w:r>
      <w:proofErr w:type="spellStart"/>
      <w:r w:rsidRPr="00064C99">
        <w:t>produção</w:t>
      </w:r>
      <w:proofErr w:type="spellEnd"/>
      <w:r w:rsidRPr="00064C99">
        <w:t xml:space="preserve"> de feijoeiro. Revista </w:t>
      </w:r>
      <w:proofErr w:type="spellStart"/>
      <w:r w:rsidRPr="00064C99">
        <w:t>Ciência</w:t>
      </w:r>
      <w:proofErr w:type="spellEnd"/>
      <w:r w:rsidRPr="00064C99">
        <w:t xml:space="preserve"> </w:t>
      </w:r>
      <w:proofErr w:type="spellStart"/>
      <w:r w:rsidRPr="00064C99">
        <w:t>Agronômica</w:t>
      </w:r>
      <w:proofErr w:type="spellEnd"/>
      <w:r w:rsidRPr="00064C99">
        <w:t>, v. 42, p.249-257, 2011.</w:t>
      </w:r>
    </w:p>
    <w:p w14:paraId="162570DF" w14:textId="6A361436" w:rsidR="00064C99" w:rsidRDefault="00064C99" w:rsidP="007C4132">
      <w:pPr>
        <w:jc w:val="left"/>
      </w:pPr>
      <w:r w:rsidRPr="00064C99">
        <w:t>TEDESCO, M. J.; GIANELLO C. Escolha do</w:t>
      </w:r>
      <w:r>
        <w:t xml:space="preserve"> corretivo da acidez do solo. Em:</w:t>
      </w:r>
      <w:r w:rsidRPr="00064C99">
        <w:t xml:space="preserve"> </w:t>
      </w:r>
      <w:proofErr w:type="spellStart"/>
      <w:r w:rsidRPr="00064C99">
        <w:t>Kaminski</w:t>
      </w:r>
      <w:proofErr w:type="spellEnd"/>
      <w:r w:rsidRPr="00064C99">
        <w:t xml:space="preserve"> J, coordenador. Uso de corretivos da acidez do solo no plantio direto. Pelotas: Núcleo Regional Sul da Sociedade Brasileira de Ciência do Solo; 2000. p.95-113.</w:t>
      </w:r>
    </w:p>
    <w:p w14:paraId="13CFFB8A" w14:textId="77777777" w:rsidR="00A86EDF" w:rsidRDefault="00A86EDF" w:rsidP="007C4132">
      <w:pPr>
        <w:jc w:val="left"/>
      </w:pPr>
    </w:p>
    <w:p w14:paraId="1BFAF592" w14:textId="2CF19A20" w:rsidR="00064C99" w:rsidRDefault="00A86EDF" w:rsidP="007C4132">
      <w:pPr>
        <w:jc w:val="left"/>
      </w:pPr>
      <w:r w:rsidRPr="004A3664">
        <w:t xml:space="preserve">USDA, ESTADOS UNIDOS. </w:t>
      </w:r>
      <w:proofErr w:type="spellStart"/>
      <w:r w:rsidRPr="004A3664">
        <w:t>Department</w:t>
      </w:r>
      <w:proofErr w:type="spellEnd"/>
      <w:r w:rsidRPr="004A3664">
        <w:t xml:space="preserve"> </w:t>
      </w:r>
      <w:proofErr w:type="spellStart"/>
      <w:r w:rsidRPr="004A3664">
        <w:t>of</w:t>
      </w:r>
      <w:proofErr w:type="spellEnd"/>
      <w:r w:rsidRPr="004A3664">
        <w:t xml:space="preserve"> </w:t>
      </w:r>
      <w:proofErr w:type="spellStart"/>
      <w:r w:rsidRPr="004A3664">
        <w:t>Agriculture</w:t>
      </w:r>
      <w:proofErr w:type="spellEnd"/>
      <w:r w:rsidRPr="004A3664">
        <w:t xml:space="preserve">. </w:t>
      </w:r>
      <w:r w:rsidRPr="004A3664">
        <w:rPr>
          <w:lang w:val="en-US"/>
        </w:rPr>
        <w:t xml:space="preserve">USDA.gov - United States Department of Agriculture. </w:t>
      </w:r>
      <w:r w:rsidRPr="004A3664">
        <w:t xml:space="preserve">Disponível em: </w:t>
      </w:r>
      <w:proofErr w:type="gramStart"/>
      <w:r w:rsidRPr="004A3664">
        <w:t>https://www.usda.gov/oce/commodity/wasde/latest.pdf .</w:t>
      </w:r>
      <w:proofErr w:type="gramEnd"/>
      <w:r w:rsidRPr="004A3664">
        <w:t xml:space="preserve"> Acesso em: 09/06/2017</w:t>
      </w:r>
      <w:r>
        <w:t>.</w:t>
      </w:r>
    </w:p>
    <w:p w14:paraId="578DAF8D" w14:textId="77777777" w:rsidR="00A86EDF" w:rsidRPr="00064C99" w:rsidRDefault="00A86EDF" w:rsidP="007C4132">
      <w:pPr>
        <w:jc w:val="left"/>
      </w:pPr>
    </w:p>
    <w:p w14:paraId="4613FB57" w14:textId="2E888E12" w:rsidR="00064C99" w:rsidRDefault="00064C99" w:rsidP="007C4132">
      <w:pPr>
        <w:jc w:val="left"/>
      </w:pPr>
      <w:r w:rsidRPr="00064C99">
        <w:t xml:space="preserve">VELOSO, C.A.C.; BORGES, A.L.; MUNIZ, A.S. &amp; VIEGAS, I.J.M. Efeitos de diferentes materiais no pH do solo. </w:t>
      </w:r>
      <w:proofErr w:type="spellStart"/>
      <w:r w:rsidRPr="00064C99">
        <w:t>Scientia</w:t>
      </w:r>
      <w:proofErr w:type="spellEnd"/>
      <w:r w:rsidRPr="00064C99">
        <w:t xml:space="preserve"> </w:t>
      </w:r>
      <w:proofErr w:type="spellStart"/>
      <w:r w:rsidRPr="00064C99">
        <w:t>Agricola</w:t>
      </w:r>
      <w:proofErr w:type="spellEnd"/>
      <w:r w:rsidRPr="00064C99">
        <w:t>, Piracicaba, v.49. p.123-128, 1992.</w:t>
      </w:r>
    </w:p>
    <w:p w14:paraId="6A072B09" w14:textId="77777777" w:rsidR="004A3664" w:rsidRDefault="004A3664" w:rsidP="007C4132">
      <w:pPr>
        <w:jc w:val="left"/>
      </w:pPr>
    </w:p>
    <w:p w14:paraId="332EB0C2" w14:textId="7CEDD944" w:rsidR="004C17DE" w:rsidRDefault="00064C99" w:rsidP="007C4132">
      <w:pPr>
        <w:jc w:val="left"/>
      </w:pPr>
      <w:r w:rsidRPr="00064C99">
        <w:t xml:space="preserve">ZAMBROSI, F.C.B.; ALLEONI, L.R.F. &amp; CAIRES, E.F. Aplicação de gesso agrícola e especiação iônica da solução de um </w:t>
      </w:r>
      <w:proofErr w:type="spellStart"/>
      <w:r w:rsidRPr="00064C99">
        <w:t>Latossolo</w:t>
      </w:r>
      <w:proofErr w:type="spellEnd"/>
      <w:r w:rsidRPr="00064C99">
        <w:t xml:space="preserve"> sob sistema plantio direto. </w:t>
      </w:r>
      <w:proofErr w:type="spellStart"/>
      <w:r w:rsidRPr="00064C99">
        <w:t>Ci</w:t>
      </w:r>
      <w:proofErr w:type="spellEnd"/>
      <w:r w:rsidRPr="00064C99">
        <w:t>. Rural, 37:110-117, 2007.</w:t>
      </w:r>
    </w:p>
    <w:p w14:paraId="651D52CA" w14:textId="77777777" w:rsidR="00722ACE" w:rsidRPr="00722ACE" w:rsidRDefault="00722ACE" w:rsidP="007C4132">
      <w:pPr>
        <w:jc w:val="left"/>
      </w:pPr>
    </w:p>
    <w:p w14:paraId="16436AEC" w14:textId="7EF9D822" w:rsidR="000A5758" w:rsidRDefault="000F2DD2" w:rsidP="007C4132">
      <w:pPr>
        <w:jc w:val="left"/>
        <w:rPr>
          <w:rFonts w:eastAsia="Times New Roman"/>
        </w:rPr>
      </w:pPr>
      <w:r>
        <w:rPr>
          <w:rFonts w:eastAsia="Times New Roman"/>
        </w:rPr>
        <w:t xml:space="preserve">ZANDONA, R. R., 2015, Gesso e calcário aumentam a produtividade e amenizam o efeito do déficit hídrico em milho e soja. Pesq. </w:t>
      </w:r>
      <w:proofErr w:type="spellStart"/>
      <w:r>
        <w:rPr>
          <w:rFonts w:eastAsia="Times New Roman"/>
        </w:rPr>
        <w:t>Agropec</w:t>
      </w:r>
      <w:proofErr w:type="spellEnd"/>
      <w:r>
        <w:rPr>
          <w:rFonts w:eastAsia="Times New Roman"/>
        </w:rPr>
        <w:t>. Trop. Goiânia, v. 45, n. 2, p. 128 – 137, abr.</w:t>
      </w:r>
      <w:r w:rsidRPr="00722ACE">
        <w:rPr>
          <w:rFonts w:eastAsia="Times New Roman"/>
        </w:rPr>
        <w:t>/jun.</w:t>
      </w:r>
      <w:r w:rsidR="00504205" w:rsidRPr="00722ACE">
        <w:rPr>
          <w:rFonts w:eastAsia="Times New Roman"/>
        </w:rPr>
        <w:t xml:space="preserve"> 2015.</w:t>
      </w:r>
    </w:p>
    <w:p w14:paraId="4BB4EDDA" w14:textId="77777777" w:rsidR="00064C99" w:rsidRDefault="00064C99" w:rsidP="007C4132">
      <w:pPr>
        <w:jc w:val="left"/>
        <w:rPr>
          <w:rFonts w:eastAsia="Times New Roman"/>
        </w:rPr>
      </w:pPr>
    </w:p>
    <w:p w14:paraId="7715B09D" w14:textId="77777777" w:rsidR="00064C99" w:rsidRDefault="00064C99" w:rsidP="007C4132">
      <w:pPr>
        <w:jc w:val="left"/>
        <w:rPr>
          <w:rFonts w:eastAsia="Times New Roman"/>
        </w:rPr>
      </w:pPr>
    </w:p>
    <w:p w14:paraId="27D4998B" w14:textId="2E53CA80" w:rsidR="004C17DE" w:rsidRPr="00504205" w:rsidRDefault="004C17DE" w:rsidP="007C4132">
      <w:pPr>
        <w:jc w:val="left"/>
      </w:pPr>
    </w:p>
    <w:sectPr w:rsidR="004C17DE" w:rsidRPr="00504205" w:rsidSect="00087041">
      <w:headerReference w:type="default" r:id="rId17"/>
      <w:pgSz w:w="11900" w:h="16840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8CE2F" w14:textId="77777777" w:rsidR="00316084" w:rsidRDefault="00316084" w:rsidP="00901734">
      <w:pPr>
        <w:spacing w:line="240" w:lineRule="auto"/>
      </w:pPr>
      <w:r>
        <w:separator/>
      </w:r>
    </w:p>
  </w:endnote>
  <w:endnote w:type="continuationSeparator" w:id="0">
    <w:p w14:paraId="2F62527C" w14:textId="77777777" w:rsidR="00316084" w:rsidRDefault="00316084" w:rsidP="00901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03CE" w14:textId="77777777" w:rsidR="00A86EDF" w:rsidRDefault="00A86EDF" w:rsidP="00087041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CDFFFDE" w14:textId="77777777" w:rsidR="00A86EDF" w:rsidRDefault="00A86EDF" w:rsidP="00E47D16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5E14" w14:textId="77777777" w:rsidR="00A86EDF" w:rsidRDefault="00A86EDF" w:rsidP="00C13AA0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F201AE">
      <w:rPr>
        <w:rStyle w:val="NmerodaPgina"/>
        <w:noProof/>
      </w:rPr>
      <w:t>20</w:t>
    </w:r>
    <w:r>
      <w:rPr>
        <w:rStyle w:val="NmerodaPgina"/>
      </w:rPr>
      <w:fldChar w:fldCharType="end"/>
    </w:r>
  </w:p>
  <w:p w14:paraId="73229FF1" w14:textId="77777777" w:rsidR="00A86EDF" w:rsidRDefault="00A86EDF" w:rsidP="00E47D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F1C3" w14:textId="77777777" w:rsidR="00316084" w:rsidRDefault="00316084" w:rsidP="00901734">
      <w:pPr>
        <w:spacing w:line="240" w:lineRule="auto"/>
      </w:pPr>
      <w:r>
        <w:separator/>
      </w:r>
    </w:p>
  </w:footnote>
  <w:footnote w:type="continuationSeparator" w:id="0">
    <w:p w14:paraId="3AC0BDC8" w14:textId="77777777" w:rsidR="00316084" w:rsidRDefault="00316084" w:rsidP="00901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A343" w14:textId="77777777" w:rsidR="00A86EDF" w:rsidRDefault="00A86ED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37B"/>
    <w:multiLevelType w:val="hybridMultilevel"/>
    <w:tmpl w:val="FCAE3C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900"/>
    <w:multiLevelType w:val="multilevel"/>
    <w:tmpl w:val="81DEC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96067EC"/>
    <w:multiLevelType w:val="hybridMultilevel"/>
    <w:tmpl w:val="42BEC19A"/>
    <w:lvl w:ilvl="0" w:tplc="FB7A1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541E"/>
    <w:multiLevelType w:val="hybridMultilevel"/>
    <w:tmpl w:val="AE00DF98"/>
    <w:lvl w:ilvl="0" w:tplc="79B6A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7144"/>
    <w:multiLevelType w:val="hybridMultilevel"/>
    <w:tmpl w:val="A8DA22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6C3"/>
    <w:multiLevelType w:val="hybridMultilevel"/>
    <w:tmpl w:val="85DA931E"/>
    <w:lvl w:ilvl="0" w:tplc="E7EA83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40506"/>
    <w:multiLevelType w:val="hybridMultilevel"/>
    <w:tmpl w:val="CE32E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17"/>
    <w:rsid w:val="0003109A"/>
    <w:rsid w:val="00054E58"/>
    <w:rsid w:val="00060DC9"/>
    <w:rsid w:val="00064360"/>
    <w:rsid w:val="00064C99"/>
    <w:rsid w:val="00064DF6"/>
    <w:rsid w:val="00087041"/>
    <w:rsid w:val="000A5758"/>
    <w:rsid w:val="000B5FCF"/>
    <w:rsid w:val="000F2DD2"/>
    <w:rsid w:val="000F37FD"/>
    <w:rsid w:val="000F537F"/>
    <w:rsid w:val="00107556"/>
    <w:rsid w:val="001340F0"/>
    <w:rsid w:val="0013541D"/>
    <w:rsid w:val="00154026"/>
    <w:rsid w:val="001850F2"/>
    <w:rsid w:val="00190CB6"/>
    <w:rsid w:val="001C3D33"/>
    <w:rsid w:val="0022167F"/>
    <w:rsid w:val="00255100"/>
    <w:rsid w:val="00281752"/>
    <w:rsid w:val="002969B5"/>
    <w:rsid w:val="002A170F"/>
    <w:rsid w:val="002A3D55"/>
    <w:rsid w:val="002A3F98"/>
    <w:rsid w:val="002B6C4F"/>
    <w:rsid w:val="002E207E"/>
    <w:rsid w:val="002F180D"/>
    <w:rsid w:val="0031020C"/>
    <w:rsid w:val="00316084"/>
    <w:rsid w:val="00323459"/>
    <w:rsid w:val="0032444F"/>
    <w:rsid w:val="003251F0"/>
    <w:rsid w:val="00333403"/>
    <w:rsid w:val="00336A14"/>
    <w:rsid w:val="0035393A"/>
    <w:rsid w:val="00355BAF"/>
    <w:rsid w:val="003B1648"/>
    <w:rsid w:val="003F32D9"/>
    <w:rsid w:val="00424EA0"/>
    <w:rsid w:val="00445805"/>
    <w:rsid w:val="00456914"/>
    <w:rsid w:val="004965A2"/>
    <w:rsid w:val="004A3664"/>
    <w:rsid w:val="004B3B98"/>
    <w:rsid w:val="004C17DE"/>
    <w:rsid w:val="004E07CA"/>
    <w:rsid w:val="004F2620"/>
    <w:rsid w:val="005004B1"/>
    <w:rsid w:val="00504205"/>
    <w:rsid w:val="00542D9B"/>
    <w:rsid w:val="00557564"/>
    <w:rsid w:val="0056690F"/>
    <w:rsid w:val="005D1603"/>
    <w:rsid w:val="005D74E8"/>
    <w:rsid w:val="00627113"/>
    <w:rsid w:val="00640559"/>
    <w:rsid w:val="00642022"/>
    <w:rsid w:val="00657087"/>
    <w:rsid w:val="00661F17"/>
    <w:rsid w:val="006760B9"/>
    <w:rsid w:val="00681862"/>
    <w:rsid w:val="00681BA6"/>
    <w:rsid w:val="006916BF"/>
    <w:rsid w:val="006C7161"/>
    <w:rsid w:val="00720585"/>
    <w:rsid w:val="00722ACE"/>
    <w:rsid w:val="00722D34"/>
    <w:rsid w:val="00723A84"/>
    <w:rsid w:val="007305FE"/>
    <w:rsid w:val="007307D9"/>
    <w:rsid w:val="00737BF6"/>
    <w:rsid w:val="00746942"/>
    <w:rsid w:val="0077119D"/>
    <w:rsid w:val="007A25FE"/>
    <w:rsid w:val="007C4132"/>
    <w:rsid w:val="007D01FD"/>
    <w:rsid w:val="0081402E"/>
    <w:rsid w:val="00823131"/>
    <w:rsid w:val="00832200"/>
    <w:rsid w:val="00870BB6"/>
    <w:rsid w:val="008732F6"/>
    <w:rsid w:val="008B2C23"/>
    <w:rsid w:val="008C4BC8"/>
    <w:rsid w:val="008F2A6A"/>
    <w:rsid w:val="00901734"/>
    <w:rsid w:val="00903BFA"/>
    <w:rsid w:val="00910D79"/>
    <w:rsid w:val="00970FE5"/>
    <w:rsid w:val="00986532"/>
    <w:rsid w:val="009E3FB1"/>
    <w:rsid w:val="009E56D9"/>
    <w:rsid w:val="00A032EB"/>
    <w:rsid w:val="00A258C6"/>
    <w:rsid w:val="00A276DE"/>
    <w:rsid w:val="00A313BE"/>
    <w:rsid w:val="00A3720E"/>
    <w:rsid w:val="00A6335C"/>
    <w:rsid w:val="00A81992"/>
    <w:rsid w:val="00A86EDF"/>
    <w:rsid w:val="00AD1408"/>
    <w:rsid w:val="00AD6979"/>
    <w:rsid w:val="00AE0457"/>
    <w:rsid w:val="00AE5B9C"/>
    <w:rsid w:val="00B33836"/>
    <w:rsid w:val="00B358D2"/>
    <w:rsid w:val="00B4183A"/>
    <w:rsid w:val="00B5067E"/>
    <w:rsid w:val="00B54575"/>
    <w:rsid w:val="00B6426E"/>
    <w:rsid w:val="00B701CE"/>
    <w:rsid w:val="00B72627"/>
    <w:rsid w:val="00B74508"/>
    <w:rsid w:val="00BC7517"/>
    <w:rsid w:val="00BE3D53"/>
    <w:rsid w:val="00C03D0C"/>
    <w:rsid w:val="00C12B99"/>
    <w:rsid w:val="00C12CE6"/>
    <w:rsid w:val="00C13AA0"/>
    <w:rsid w:val="00C26BBE"/>
    <w:rsid w:val="00C37D2E"/>
    <w:rsid w:val="00C57B0A"/>
    <w:rsid w:val="00C8280E"/>
    <w:rsid w:val="00C954DC"/>
    <w:rsid w:val="00CB0E19"/>
    <w:rsid w:val="00CB50EB"/>
    <w:rsid w:val="00CC5366"/>
    <w:rsid w:val="00CD50EE"/>
    <w:rsid w:val="00CD7514"/>
    <w:rsid w:val="00D05B18"/>
    <w:rsid w:val="00D10C3B"/>
    <w:rsid w:val="00D35076"/>
    <w:rsid w:val="00D3621A"/>
    <w:rsid w:val="00D4373D"/>
    <w:rsid w:val="00D50C84"/>
    <w:rsid w:val="00D53805"/>
    <w:rsid w:val="00D55B08"/>
    <w:rsid w:val="00DA3B45"/>
    <w:rsid w:val="00DA5B21"/>
    <w:rsid w:val="00DC0A28"/>
    <w:rsid w:val="00DD2921"/>
    <w:rsid w:val="00DD49A2"/>
    <w:rsid w:val="00DF0B79"/>
    <w:rsid w:val="00E47D16"/>
    <w:rsid w:val="00E84F26"/>
    <w:rsid w:val="00E8546D"/>
    <w:rsid w:val="00EA00AF"/>
    <w:rsid w:val="00EA2C39"/>
    <w:rsid w:val="00EA54BF"/>
    <w:rsid w:val="00EA594E"/>
    <w:rsid w:val="00ED1C9B"/>
    <w:rsid w:val="00F07CA8"/>
    <w:rsid w:val="00F12BE5"/>
    <w:rsid w:val="00F201AE"/>
    <w:rsid w:val="00F27244"/>
    <w:rsid w:val="00F337F4"/>
    <w:rsid w:val="00F4228F"/>
    <w:rsid w:val="00F8396B"/>
    <w:rsid w:val="00F909A5"/>
    <w:rsid w:val="00FB6E68"/>
    <w:rsid w:val="00FD0863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0F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BF6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064C99"/>
    <w:pPr>
      <w:keepNext/>
      <w:keepLines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969B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7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734"/>
  </w:style>
  <w:style w:type="paragraph" w:styleId="Rodap">
    <w:name w:val="footer"/>
    <w:basedOn w:val="Normal"/>
    <w:link w:val="RodapChar"/>
    <w:uiPriority w:val="99"/>
    <w:unhideWhenUsed/>
    <w:rsid w:val="009017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734"/>
  </w:style>
  <w:style w:type="paragraph" w:styleId="Ttulo">
    <w:name w:val="Title"/>
    <w:basedOn w:val="Normal"/>
    <w:next w:val="Normal"/>
    <w:link w:val="TtuloChar"/>
    <w:uiPriority w:val="10"/>
    <w:qFormat/>
    <w:rsid w:val="00C37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6690F"/>
    <w:rPr>
      <w:rFonts w:ascii="Arial" w:eastAsia="Times New Roman" w:hAnsi="Arial" w:cstheme="majorBidi"/>
      <w:spacing w:val="-10"/>
      <w:kern w:val="28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064C99"/>
    <w:rPr>
      <w:rFonts w:ascii="Arial" w:eastAsiaTheme="majorEastAsia" w:hAnsi="Arial" w:cstheme="majorBidi"/>
      <w:color w:val="000000" w:themeColor="text1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6690F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6690F"/>
    <w:pPr>
      <w:ind w:left="240"/>
    </w:pPr>
    <w:rPr>
      <w:b/>
      <w:bC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56690F"/>
    <w:pPr>
      <w:tabs>
        <w:tab w:val="right" w:leader="dot" w:pos="9055"/>
      </w:tabs>
      <w:spacing w:before="1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56690F"/>
    <w:pPr>
      <w:ind w:left="480"/>
    </w:pPr>
    <w:rPr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56690F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56690F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56690F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56690F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56690F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6690F"/>
    <w:pPr>
      <w:ind w:left="1920"/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969B5"/>
    <w:rPr>
      <w:rFonts w:ascii="Arial" w:eastAsiaTheme="majorEastAsia" w:hAnsi="Arial" w:cstheme="majorBidi"/>
      <w:color w:val="000000" w:themeColor="text1"/>
      <w:sz w:val="20"/>
      <w:szCs w:val="26"/>
    </w:rPr>
  </w:style>
  <w:style w:type="character" w:styleId="Hiperlink">
    <w:name w:val="Hyperlink"/>
    <w:basedOn w:val="Fontepargpadro"/>
    <w:uiPriority w:val="99"/>
    <w:unhideWhenUsed/>
    <w:rsid w:val="0056690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3B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3B45"/>
    <w:pPr>
      <w:spacing w:line="240" w:lineRule="auto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45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Ttulo1"/>
    <w:next w:val="Normal"/>
    <w:link w:val="SubttuloChar"/>
    <w:uiPriority w:val="11"/>
    <w:qFormat/>
    <w:rsid w:val="00DA3B45"/>
  </w:style>
  <w:style w:type="character" w:customStyle="1" w:styleId="SubttuloChar">
    <w:name w:val="Subtítulo Char"/>
    <w:basedOn w:val="Fontepargpadro"/>
    <w:link w:val="Subttulo"/>
    <w:uiPriority w:val="11"/>
    <w:rsid w:val="00DA3B45"/>
    <w:rPr>
      <w:rFonts w:ascii="Arial" w:eastAsiaTheme="majorEastAsia" w:hAnsi="Arial" w:cstheme="majorBidi"/>
      <w:color w:val="000000" w:themeColor="text1"/>
      <w:szCs w:val="32"/>
    </w:rPr>
  </w:style>
  <w:style w:type="character" w:styleId="RefernciaSutil">
    <w:name w:val="Subtle Reference"/>
    <w:basedOn w:val="Fontepargpadro"/>
    <w:uiPriority w:val="31"/>
    <w:qFormat/>
    <w:rsid w:val="00B74508"/>
    <w:rPr>
      <w:rFonts w:ascii="Arial" w:hAnsi="Arial"/>
      <w:smallCaps/>
      <w:color w:val="000000" w:themeColor="text1"/>
      <w:sz w:val="20"/>
    </w:rPr>
  </w:style>
  <w:style w:type="paragraph" w:styleId="SemEspaamento">
    <w:name w:val="No Spacing"/>
    <w:uiPriority w:val="1"/>
    <w:qFormat/>
    <w:rsid w:val="00B74508"/>
    <w:pPr>
      <w:jc w:val="both"/>
    </w:pPr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A2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E4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0D503-24DD-AB4E-AFA0-33AA66D3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24</Pages>
  <Words>5171</Words>
  <Characters>27929</Characters>
  <Application>Microsoft Macintosh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Barbosa Gloria</dc:creator>
  <cp:keywords/>
  <dc:description/>
  <cp:lastModifiedBy>Hilda Barbosa Gloria</cp:lastModifiedBy>
  <cp:revision>19</cp:revision>
  <cp:lastPrinted>2017-06-25T01:30:00Z</cp:lastPrinted>
  <dcterms:created xsi:type="dcterms:W3CDTF">2017-06-24T19:25:00Z</dcterms:created>
  <dcterms:modified xsi:type="dcterms:W3CDTF">2017-07-06T15:54:00Z</dcterms:modified>
</cp:coreProperties>
</file>