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0D" w:rsidRPr="005D30B9" w:rsidRDefault="00B23D0D" w:rsidP="00772C69">
      <w:pPr>
        <w:spacing w:after="0" w:line="360" w:lineRule="auto"/>
        <w:jc w:val="center"/>
        <w:rPr>
          <w:rFonts w:ascii="Times New Roman" w:hAnsi="Times New Roman" w:cs="Times New Roman"/>
          <w:b/>
          <w:sz w:val="24"/>
          <w:szCs w:val="24"/>
        </w:rPr>
      </w:pPr>
      <w:bookmarkStart w:id="0" w:name="_GoBack"/>
      <w:bookmarkEnd w:id="0"/>
      <w:r w:rsidRPr="005D30B9">
        <w:rPr>
          <w:rFonts w:ascii="Times New Roman" w:hAnsi="Times New Roman" w:cs="Times New Roman"/>
          <w:b/>
          <w:sz w:val="24"/>
          <w:szCs w:val="24"/>
        </w:rPr>
        <w:t xml:space="preserve">UNIVERSIDADE FEDERAL DE VIÇOSA </w:t>
      </w:r>
    </w:p>
    <w:p w:rsidR="00B23D0D" w:rsidRPr="005D30B9" w:rsidRDefault="00B23D0D" w:rsidP="00772C69">
      <w:pPr>
        <w:spacing w:after="0" w:line="360" w:lineRule="auto"/>
        <w:jc w:val="center"/>
        <w:rPr>
          <w:rFonts w:ascii="Times New Roman" w:hAnsi="Times New Roman" w:cs="Times New Roman"/>
          <w:b/>
          <w:sz w:val="24"/>
          <w:szCs w:val="24"/>
        </w:rPr>
      </w:pPr>
    </w:p>
    <w:p w:rsidR="005F28E1" w:rsidRPr="005D30B9" w:rsidRDefault="005F28E1" w:rsidP="00772C69">
      <w:pPr>
        <w:spacing w:after="0" w:line="360" w:lineRule="auto"/>
        <w:jc w:val="center"/>
        <w:rPr>
          <w:rFonts w:ascii="Times New Roman" w:hAnsi="Times New Roman" w:cs="Times New Roman"/>
          <w:b/>
          <w:sz w:val="24"/>
          <w:szCs w:val="24"/>
        </w:rPr>
      </w:pPr>
    </w:p>
    <w:p w:rsidR="00772C69" w:rsidRPr="005D30B9" w:rsidRDefault="00772C69" w:rsidP="00772C69">
      <w:pPr>
        <w:spacing w:after="0" w:line="360" w:lineRule="auto"/>
        <w:jc w:val="center"/>
        <w:rPr>
          <w:rFonts w:ascii="Times New Roman" w:hAnsi="Times New Roman" w:cs="Times New Roman"/>
          <w:b/>
          <w:sz w:val="24"/>
          <w:szCs w:val="24"/>
        </w:rPr>
      </w:pPr>
    </w:p>
    <w:p w:rsidR="00772C69" w:rsidRPr="005D30B9" w:rsidRDefault="00772C69" w:rsidP="00772C69">
      <w:pPr>
        <w:spacing w:after="0" w:line="360" w:lineRule="auto"/>
        <w:jc w:val="center"/>
        <w:rPr>
          <w:rFonts w:ascii="Times New Roman" w:hAnsi="Times New Roman" w:cs="Times New Roman"/>
          <w:b/>
          <w:sz w:val="24"/>
          <w:szCs w:val="24"/>
        </w:rPr>
      </w:pPr>
    </w:p>
    <w:p w:rsidR="00997075" w:rsidRPr="005D30B9" w:rsidRDefault="00997075" w:rsidP="00772C69">
      <w:pPr>
        <w:spacing w:after="0" w:line="360" w:lineRule="auto"/>
        <w:jc w:val="center"/>
        <w:rPr>
          <w:rFonts w:ascii="Times New Roman" w:hAnsi="Times New Roman" w:cs="Times New Roman"/>
          <w:b/>
          <w:sz w:val="24"/>
          <w:szCs w:val="24"/>
        </w:rPr>
      </w:pPr>
    </w:p>
    <w:p w:rsidR="00997075" w:rsidRPr="005D30B9" w:rsidRDefault="00997075" w:rsidP="00772C69">
      <w:pPr>
        <w:spacing w:after="0" w:line="360" w:lineRule="auto"/>
        <w:jc w:val="center"/>
        <w:rPr>
          <w:rFonts w:ascii="Times New Roman" w:hAnsi="Times New Roman" w:cs="Times New Roman"/>
          <w:b/>
          <w:sz w:val="24"/>
          <w:szCs w:val="24"/>
        </w:rPr>
      </w:pPr>
    </w:p>
    <w:p w:rsidR="00B23D0D" w:rsidRPr="005D30B9" w:rsidRDefault="004753CF"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VINICIUS DE PAULA FIALHO</w:t>
      </w:r>
    </w:p>
    <w:p w:rsidR="00B23D0D" w:rsidRPr="005D30B9" w:rsidRDefault="00B23D0D" w:rsidP="00772C69">
      <w:pPr>
        <w:spacing w:after="0" w:line="360" w:lineRule="auto"/>
        <w:jc w:val="center"/>
        <w:rPr>
          <w:rFonts w:ascii="Times New Roman" w:hAnsi="Times New Roman" w:cs="Times New Roman"/>
          <w:b/>
          <w:sz w:val="24"/>
          <w:szCs w:val="24"/>
        </w:rPr>
      </w:pPr>
    </w:p>
    <w:p w:rsidR="00EF0AFE" w:rsidRPr="005D30B9" w:rsidRDefault="00EF0AFE" w:rsidP="00772C69">
      <w:pPr>
        <w:spacing w:after="0" w:line="360" w:lineRule="auto"/>
        <w:jc w:val="center"/>
        <w:rPr>
          <w:rFonts w:ascii="Times New Roman" w:hAnsi="Times New Roman" w:cs="Times New Roman"/>
          <w:b/>
          <w:sz w:val="24"/>
          <w:szCs w:val="24"/>
        </w:rPr>
      </w:pPr>
    </w:p>
    <w:p w:rsidR="00997075" w:rsidRPr="005D30B9" w:rsidRDefault="00997075" w:rsidP="00772C69">
      <w:pPr>
        <w:spacing w:after="0" w:line="360" w:lineRule="auto"/>
        <w:jc w:val="center"/>
        <w:rPr>
          <w:rFonts w:ascii="Times New Roman" w:hAnsi="Times New Roman" w:cs="Times New Roman"/>
          <w:b/>
          <w:sz w:val="24"/>
          <w:szCs w:val="24"/>
        </w:rPr>
      </w:pPr>
    </w:p>
    <w:p w:rsidR="00772C69" w:rsidRPr="005D30B9" w:rsidRDefault="00772C69" w:rsidP="00772C69">
      <w:pPr>
        <w:spacing w:after="0" w:line="360" w:lineRule="auto"/>
        <w:jc w:val="center"/>
        <w:rPr>
          <w:rFonts w:ascii="Times New Roman" w:hAnsi="Times New Roman" w:cs="Times New Roman"/>
          <w:b/>
          <w:sz w:val="24"/>
          <w:szCs w:val="24"/>
        </w:rPr>
      </w:pPr>
    </w:p>
    <w:p w:rsidR="00997075" w:rsidRPr="005D30B9" w:rsidRDefault="00997075" w:rsidP="00772C69">
      <w:pPr>
        <w:spacing w:after="0" w:line="360" w:lineRule="auto"/>
        <w:jc w:val="center"/>
        <w:rPr>
          <w:rFonts w:ascii="Times New Roman" w:hAnsi="Times New Roman" w:cs="Times New Roman"/>
          <w:b/>
          <w:sz w:val="24"/>
          <w:szCs w:val="24"/>
        </w:rPr>
      </w:pPr>
    </w:p>
    <w:p w:rsidR="00B23D0D" w:rsidRPr="005D30B9" w:rsidRDefault="00B23D0D" w:rsidP="00772C69">
      <w:pPr>
        <w:spacing w:after="0" w:line="360" w:lineRule="auto"/>
        <w:jc w:val="center"/>
        <w:rPr>
          <w:rFonts w:ascii="Times New Roman" w:hAnsi="Times New Roman" w:cs="Times New Roman"/>
          <w:b/>
          <w:sz w:val="24"/>
          <w:szCs w:val="24"/>
        </w:rPr>
      </w:pPr>
    </w:p>
    <w:p w:rsidR="00B23D0D" w:rsidRDefault="004753CF"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DIAGNÓSTICO DAS AUTUAÇÕES AMBIENTAIS DA ZONA DA MATA MIN</w:t>
      </w:r>
      <w:r w:rsidR="004824E4">
        <w:rPr>
          <w:rFonts w:ascii="Times New Roman" w:hAnsi="Times New Roman" w:cs="Times New Roman"/>
          <w:b/>
          <w:sz w:val="24"/>
          <w:szCs w:val="24"/>
        </w:rPr>
        <w:t>EIRA:</w:t>
      </w:r>
    </w:p>
    <w:p w:rsidR="004824E4" w:rsidRPr="005D30B9" w:rsidRDefault="004824E4"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TIPOS E OCORRÊNCIAS ANUAIS</w:t>
      </w:r>
    </w:p>
    <w:p w:rsidR="00B23D0D" w:rsidRPr="005D30B9" w:rsidRDefault="00B23D0D" w:rsidP="00772C69">
      <w:pPr>
        <w:spacing w:after="0" w:line="360" w:lineRule="auto"/>
        <w:jc w:val="center"/>
        <w:rPr>
          <w:rFonts w:ascii="Times New Roman" w:hAnsi="Times New Roman" w:cs="Times New Roman"/>
          <w:b/>
          <w:sz w:val="24"/>
          <w:szCs w:val="24"/>
        </w:rPr>
      </w:pPr>
    </w:p>
    <w:p w:rsidR="00B23D0D" w:rsidRPr="005D30B9" w:rsidRDefault="00B23D0D" w:rsidP="00772C69">
      <w:pPr>
        <w:spacing w:after="0" w:line="360" w:lineRule="auto"/>
        <w:jc w:val="both"/>
        <w:rPr>
          <w:rFonts w:ascii="Times New Roman" w:hAnsi="Times New Roman" w:cs="Times New Roman"/>
          <w:b/>
          <w:sz w:val="24"/>
          <w:szCs w:val="24"/>
        </w:rPr>
      </w:pPr>
    </w:p>
    <w:p w:rsidR="00B23D0D" w:rsidRPr="005D30B9" w:rsidRDefault="00B23D0D" w:rsidP="00772C69">
      <w:pPr>
        <w:spacing w:after="0" w:line="360" w:lineRule="auto"/>
        <w:jc w:val="both"/>
        <w:rPr>
          <w:rFonts w:ascii="Times New Roman" w:hAnsi="Times New Roman" w:cs="Times New Roman"/>
          <w:b/>
          <w:sz w:val="24"/>
          <w:szCs w:val="24"/>
        </w:rPr>
      </w:pPr>
    </w:p>
    <w:p w:rsidR="00B23D0D" w:rsidRPr="005D30B9" w:rsidRDefault="00B23D0D" w:rsidP="00772C69">
      <w:pPr>
        <w:spacing w:after="0" w:line="360" w:lineRule="auto"/>
        <w:jc w:val="both"/>
        <w:rPr>
          <w:rFonts w:ascii="Times New Roman" w:hAnsi="Times New Roman" w:cs="Times New Roman"/>
          <w:b/>
          <w:sz w:val="24"/>
          <w:szCs w:val="24"/>
        </w:rPr>
      </w:pPr>
    </w:p>
    <w:p w:rsidR="00EF0AFE" w:rsidRPr="005D30B9" w:rsidRDefault="00EF0AFE" w:rsidP="00772C69">
      <w:pPr>
        <w:spacing w:after="0" w:line="360" w:lineRule="auto"/>
        <w:jc w:val="both"/>
        <w:rPr>
          <w:rFonts w:ascii="Times New Roman" w:hAnsi="Times New Roman" w:cs="Times New Roman"/>
          <w:b/>
          <w:sz w:val="24"/>
          <w:szCs w:val="24"/>
        </w:rPr>
      </w:pPr>
    </w:p>
    <w:p w:rsidR="00EF0AFE" w:rsidRPr="005D30B9" w:rsidRDefault="00EF0AFE" w:rsidP="00772C69">
      <w:pPr>
        <w:spacing w:after="0" w:line="360" w:lineRule="auto"/>
        <w:jc w:val="both"/>
        <w:rPr>
          <w:rFonts w:ascii="Times New Roman" w:hAnsi="Times New Roman" w:cs="Times New Roman"/>
          <w:b/>
          <w:sz w:val="24"/>
          <w:szCs w:val="24"/>
        </w:rPr>
      </w:pPr>
    </w:p>
    <w:p w:rsidR="00772C69" w:rsidRPr="005D30B9" w:rsidRDefault="00772C69" w:rsidP="00772C69">
      <w:pPr>
        <w:spacing w:after="0" w:line="360" w:lineRule="auto"/>
        <w:jc w:val="both"/>
        <w:rPr>
          <w:rFonts w:ascii="Times New Roman" w:hAnsi="Times New Roman" w:cs="Times New Roman"/>
          <w:b/>
          <w:sz w:val="24"/>
          <w:szCs w:val="24"/>
        </w:rPr>
      </w:pPr>
    </w:p>
    <w:p w:rsidR="00997075" w:rsidRPr="005D30B9" w:rsidRDefault="00997075" w:rsidP="00772C69">
      <w:pPr>
        <w:spacing w:after="0" w:line="360" w:lineRule="auto"/>
        <w:jc w:val="both"/>
        <w:rPr>
          <w:rFonts w:ascii="Times New Roman" w:hAnsi="Times New Roman" w:cs="Times New Roman"/>
          <w:b/>
          <w:sz w:val="24"/>
          <w:szCs w:val="24"/>
        </w:rPr>
      </w:pPr>
    </w:p>
    <w:p w:rsidR="00997075" w:rsidRPr="005D30B9" w:rsidRDefault="00997075" w:rsidP="00772C69">
      <w:pPr>
        <w:spacing w:after="0" w:line="360" w:lineRule="auto"/>
        <w:jc w:val="both"/>
        <w:rPr>
          <w:rFonts w:ascii="Times New Roman" w:hAnsi="Times New Roman" w:cs="Times New Roman"/>
          <w:b/>
          <w:sz w:val="24"/>
          <w:szCs w:val="24"/>
        </w:rPr>
      </w:pPr>
    </w:p>
    <w:p w:rsidR="00997075" w:rsidRPr="005D30B9" w:rsidRDefault="00997075" w:rsidP="00772C69">
      <w:pPr>
        <w:spacing w:after="0" w:line="360" w:lineRule="auto"/>
        <w:jc w:val="both"/>
        <w:rPr>
          <w:rFonts w:ascii="Times New Roman" w:hAnsi="Times New Roman" w:cs="Times New Roman"/>
          <w:b/>
          <w:sz w:val="24"/>
          <w:szCs w:val="24"/>
        </w:rPr>
      </w:pPr>
    </w:p>
    <w:p w:rsidR="00997075" w:rsidRPr="005D30B9" w:rsidRDefault="00997075" w:rsidP="00772C69">
      <w:pPr>
        <w:spacing w:after="0" w:line="360" w:lineRule="auto"/>
        <w:jc w:val="both"/>
        <w:rPr>
          <w:rFonts w:ascii="Times New Roman" w:hAnsi="Times New Roman" w:cs="Times New Roman"/>
          <w:b/>
          <w:sz w:val="24"/>
          <w:szCs w:val="24"/>
        </w:rPr>
      </w:pPr>
    </w:p>
    <w:p w:rsidR="00997075" w:rsidRPr="005D30B9" w:rsidRDefault="00997075" w:rsidP="00772C69">
      <w:pPr>
        <w:spacing w:after="0" w:line="360" w:lineRule="auto"/>
        <w:jc w:val="both"/>
        <w:rPr>
          <w:rFonts w:ascii="Times New Roman" w:hAnsi="Times New Roman" w:cs="Times New Roman"/>
          <w:b/>
          <w:sz w:val="24"/>
          <w:szCs w:val="24"/>
        </w:rPr>
      </w:pPr>
    </w:p>
    <w:p w:rsidR="00997075" w:rsidRPr="005D30B9" w:rsidRDefault="00997075" w:rsidP="00772C69">
      <w:pPr>
        <w:spacing w:after="0" w:line="360" w:lineRule="auto"/>
        <w:jc w:val="both"/>
        <w:rPr>
          <w:rFonts w:ascii="Times New Roman" w:hAnsi="Times New Roman" w:cs="Times New Roman"/>
          <w:b/>
          <w:sz w:val="24"/>
          <w:szCs w:val="24"/>
        </w:rPr>
      </w:pPr>
    </w:p>
    <w:p w:rsidR="00772C69" w:rsidRPr="005D30B9" w:rsidRDefault="00772C69" w:rsidP="00772C69">
      <w:pPr>
        <w:spacing w:after="0" w:line="360" w:lineRule="auto"/>
        <w:jc w:val="both"/>
        <w:rPr>
          <w:rFonts w:ascii="Times New Roman" w:hAnsi="Times New Roman" w:cs="Times New Roman"/>
          <w:b/>
          <w:sz w:val="24"/>
          <w:szCs w:val="24"/>
        </w:rPr>
      </w:pPr>
    </w:p>
    <w:p w:rsidR="00B23D0D" w:rsidRPr="005D30B9" w:rsidRDefault="00B23D0D" w:rsidP="00772C69">
      <w:pPr>
        <w:spacing w:after="0" w:line="360" w:lineRule="auto"/>
        <w:jc w:val="center"/>
        <w:rPr>
          <w:rFonts w:ascii="Times New Roman" w:hAnsi="Times New Roman" w:cs="Times New Roman"/>
          <w:b/>
          <w:sz w:val="24"/>
          <w:szCs w:val="24"/>
        </w:rPr>
      </w:pPr>
    </w:p>
    <w:p w:rsidR="00B23D0D" w:rsidRPr="005D30B9" w:rsidRDefault="00EF0AFE" w:rsidP="00772C69">
      <w:pPr>
        <w:spacing w:after="0" w:line="360" w:lineRule="auto"/>
        <w:jc w:val="center"/>
        <w:rPr>
          <w:rFonts w:ascii="Times New Roman" w:hAnsi="Times New Roman" w:cs="Times New Roman"/>
          <w:b/>
          <w:sz w:val="24"/>
          <w:szCs w:val="24"/>
        </w:rPr>
      </w:pPr>
      <w:r w:rsidRPr="005D30B9">
        <w:rPr>
          <w:rFonts w:ascii="Times New Roman" w:hAnsi="Times New Roman" w:cs="Times New Roman"/>
          <w:b/>
          <w:sz w:val="24"/>
          <w:szCs w:val="24"/>
        </w:rPr>
        <w:t>VIÇOSA – MINAS GERAIS</w:t>
      </w:r>
    </w:p>
    <w:p w:rsidR="00992CFB" w:rsidRPr="005D30B9" w:rsidRDefault="00EF0AFE" w:rsidP="00992CFB">
      <w:pPr>
        <w:spacing w:after="0" w:line="360" w:lineRule="auto"/>
        <w:jc w:val="center"/>
        <w:rPr>
          <w:rFonts w:ascii="Times New Roman" w:hAnsi="Times New Roman" w:cs="Times New Roman"/>
          <w:b/>
          <w:sz w:val="24"/>
          <w:szCs w:val="24"/>
        </w:rPr>
      </w:pPr>
      <w:r w:rsidRPr="005D30B9">
        <w:rPr>
          <w:rFonts w:ascii="Times New Roman" w:hAnsi="Times New Roman" w:cs="Times New Roman"/>
          <w:b/>
          <w:sz w:val="24"/>
          <w:szCs w:val="24"/>
        </w:rPr>
        <w:t>2016</w:t>
      </w:r>
      <w:r w:rsidR="00992CFB" w:rsidRPr="005D30B9">
        <w:rPr>
          <w:rFonts w:ascii="Times New Roman" w:hAnsi="Times New Roman" w:cs="Times New Roman"/>
          <w:b/>
          <w:sz w:val="24"/>
          <w:szCs w:val="24"/>
        </w:rPr>
        <w:br w:type="page"/>
      </w:r>
    </w:p>
    <w:p w:rsidR="005F28E1" w:rsidRPr="005D30B9" w:rsidRDefault="004753CF" w:rsidP="00772C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VINICIUS DE PAULA FIALHO</w:t>
      </w:r>
    </w:p>
    <w:p w:rsidR="005F28E1" w:rsidRPr="005D30B9" w:rsidRDefault="005F28E1" w:rsidP="00772C69">
      <w:pPr>
        <w:spacing w:after="0" w:line="360" w:lineRule="auto"/>
        <w:jc w:val="center"/>
        <w:rPr>
          <w:rFonts w:ascii="Times New Roman" w:hAnsi="Times New Roman" w:cs="Times New Roman"/>
          <w:b/>
          <w:sz w:val="24"/>
          <w:szCs w:val="24"/>
        </w:rPr>
      </w:pPr>
    </w:p>
    <w:p w:rsidR="005F28E1" w:rsidRPr="005D30B9" w:rsidRDefault="005F28E1" w:rsidP="00772C69">
      <w:pPr>
        <w:spacing w:after="0" w:line="360" w:lineRule="auto"/>
        <w:jc w:val="center"/>
        <w:rPr>
          <w:rFonts w:ascii="Times New Roman" w:hAnsi="Times New Roman" w:cs="Times New Roman"/>
          <w:b/>
          <w:sz w:val="24"/>
          <w:szCs w:val="24"/>
        </w:rPr>
      </w:pPr>
    </w:p>
    <w:p w:rsidR="00772C69" w:rsidRPr="005D30B9" w:rsidRDefault="00772C69" w:rsidP="00772C69">
      <w:pPr>
        <w:spacing w:after="0" w:line="360" w:lineRule="auto"/>
        <w:jc w:val="center"/>
        <w:rPr>
          <w:rFonts w:ascii="Times New Roman" w:hAnsi="Times New Roman" w:cs="Times New Roman"/>
          <w:b/>
          <w:sz w:val="24"/>
          <w:szCs w:val="24"/>
        </w:rPr>
      </w:pPr>
    </w:p>
    <w:p w:rsidR="00772C69" w:rsidRPr="005D30B9" w:rsidRDefault="00772C69" w:rsidP="00772C69">
      <w:pPr>
        <w:spacing w:after="0" w:line="360" w:lineRule="auto"/>
        <w:jc w:val="center"/>
        <w:rPr>
          <w:rFonts w:ascii="Times New Roman" w:hAnsi="Times New Roman" w:cs="Times New Roman"/>
          <w:b/>
          <w:sz w:val="24"/>
          <w:szCs w:val="24"/>
        </w:rPr>
      </w:pPr>
    </w:p>
    <w:p w:rsidR="00997075" w:rsidRPr="005D30B9" w:rsidRDefault="00997075" w:rsidP="00772C69">
      <w:pPr>
        <w:spacing w:after="0" w:line="360" w:lineRule="auto"/>
        <w:jc w:val="center"/>
        <w:rPr>
          <w:rFonts w:ascii="Times New Roman" w:hAnsi="Times New Roman" w:cs="Times New Roman"/>
          <w:b/>
          <w:sz w:val="24"/>
          <w:szCs w:val="24"/>
        </w:rPr>
      </w:pPr>
    </w:p>
    <w:p w:rsidR="00EF0AFE" w:rsidRPr="005D30B9" w:rsidRDefault="00EF0AFE" w:rsidP="00772C69">
      <w:pPr>
        <w:spacing w:after="0" w:line="360" w:lineRule="auto"/>
        <w:jc w:val="center"/>
        <w:rPr>
          <w:rFonts w:ascii="Times New Roman" w:hAnsi="Times New Roman" w:cs="Times New Roman"/>
          <w:b/>
          <w:sz w:val="24"/>
          <w:szCs w:val="24"/>
        </w:rPr>
      </w:pPr>
    </w:p>
    <w:p w:rsidR="004824E4" w:rsidRDefault="004824E4" w:rsidP="004824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DIAGNÓSTICO DAS AUTUAÇÕES AMBIENTAIS DA ZONA DA MATA MINEIRA:</w:t>
      </w:r>
    </w:p>
    <w:p w:rsidR="004824E4" w:rsidRPr="005D30B9" w:rsidRDefault="004824E4" w:rsidP="004824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TIPOS E OCORRÊNCIAS ANUAIS</w:t>
      </w:r>
    </w:p>
    <w:p w:rsidR="00EF0AFE" w:rsidRPr="005D30B9" w:rsidRDefault="00EF0AFE" w:rsidP="00772C69">
      <w:pPr>
        <w:spacing w:after="0" w:line="360" w:lineRule="auto"/>
        <w:jc w:val="center"/>
        <w:rPr>
          <w:rFonts w:ascii="Times New Roman" w:hAnsi="Times New Roman" w:cs="Times New Roman"/>
          <w:b/>
          <w:sz w:val="24"/>
          <w:szCs w:val="24"/>
        </w:rPr>
      </w:pPr>
    </w:p>
    <w:p w:rsidR="00772C69" w:rsidRPr="005D30B9" w:rsidRDefault="00772C69" w:rsidP="00772C69">
      <w:pPr>
        <w:spacing w:after="0" w:line="360" w:lineRule="auto"/>
        <w:jc w:val="center"/>
        <w:rPr>
          <w:rFonts w:ascii="Times New Roman" w:hAnsi="Times New Roman" w:cs="Times New Roman"/>
          <w:b/>
          <w:sz w:val="24"/>
          <w:szCs w:val="24"/>
        </w:rPr>
      </w:pPr>
    </w:p>
    <w:p w:rsidR="00997075" w:rsidRPr="005D30B9" w:rsidRDefault="00997075" w:rsidP="00772C69">
      <w:pPr>
        <w:spacing w:after="0" w:line="360" w:lineRule="auto"/>
        <w:jc w:val="center"/>
        <w:rPr>
          <w:rFonts w:ascii="Times New Roman" w:hAnsi="Times New Roman" w:cs="Times New Roman"/>
          <w:b/>
          <w:sz w:val="24"/>
          <w:szCs w:val="24"/>
        </w:rPr>
      </w:pPr>
    </w:p>
    <w:p w:rsidR="00997075" w:rsidRPr="005D30B9" w:rsidRDefault="00997075" w:rsidP="00772C69">
      <w:pPr>
        <w:spacing w:after="0" w:line="360" w:lineRule="auto"/>
        <w:jc w:val="center"/>
        <w:rPr>
          <w:rFonts w:ascii="Times New Roman" w:hAnsi="Times New Roman" w:cs="Times New Roman"/>
          <w:b/>
          <w:sz w:val="24"/>
          <w:szCs w:val="24"/>
        </w:rPr>
      </w:pPr>
    </w:p>
    <w:p w:rsidR="00997075" w:rsidRPr="005D30B9" w:rsidRDefault="00997075" w:rsidP="00772C69">
      <w:pPr>
        <w:spacing w:after="0" w:line="360" w:lineRule="auto"/>
        <w:jc w:val="center"/>
        <w:rPr>
          <w:rFonts w:ascii="Times New Roman" w:hAnsi="Times New Roman" w:cs="Times New Roman"/>
          <w:b/>
          <w:sz w:val="24"/>
          <w:szCs w:val="24"/>
        </w:rPr>
      </w:pPr>
    </w:p>
    <w:p w:rsidR="005F28E1" w:rsidRPr="005D30B9" w:rsidRDefault="005F28E1" w:rsidP="00772C69">
      <w:pPr>
        <w:spacing w:after="0" w:line="360" w:lineRule="auto"/>
        <w:rPr>
          <w:rFonts w:ascii="Times New Roman" w:hAnsi="Times New Roman" w:cs="Times New Roman"/>
          <w:b/>
          <w:sz w:val="24"/>
          <w:szCs w:val="24"/>
        </w:rPr>
      </w:pPr>
    </w:p>
    <w:p w:rsidR="00A11E9A" w:rsidRDefault="00A11E9A" w:rsidP="00A11E9A">
      <w:pPr>
        <w:spacing w:after="0" w:line="360" w:lineRule="auto"/>
        <w:ind w:left="4252"/>
        <w:jc w:val="both"/>
        <w:rPr>
          <w:rFonts w:ascii="Times New Roman" w:hAnsi="Times New Roman" w:cs="Times New Roman"/>
          <w:b/>
        </w:rPr>
      </w:pPr>
      <w:r>
        <w:rPr>
          <w:rFonts w:ascii="Times New Roman" w:hAnsi="Times New Roman" w:cs="Times New Roman"/>
          <w:b/>
        </w:rPr>
        <w:t>Trabalho de conclusão de curso apresentado à Universidade Federal de Viçosa como parte das exigências para a obtenção do título de Engenheiro Agrônomo. Modalidade: Revisão de Literatura.</w:t>
      </w:r>
    </w:p>
    <w:p w:rsidR="00EF0AFE" w:rsidRPr="005D30B9" w:rsidRDefault="00B020C1" w:rsidP="001165FF">
      <w:pPr>
        <w:spacing w:after="0" w:line="360" w:lineRule="auto"/>
        <w:ind w:left="4252"/>
        <w:jc w:val="both"/>
        <w:rPr>
          <w:rFonts w:ascii="Times New Roman" w:hAnsi="Times New Roman" w:cs="Times New Roman"/>
          <w:b/>
        </w:rPr>
      </w:pPr>
      <w:r>
        <w:rPr>
          <w:rFonts w:ascii="Times New Roman" w:hAnsi="Times New Roman" w:cs="Times New Roman"/>
          <w:b/>
        </w:rPr>
        <w:t xml:space="preserve">Orientador: </w:t>
      </w:r>
      <w:proofErr w:type="spellStart"/>
      <w:r>
        <w:rPr>
          <w:rFonts w:ascii="Times New Roman" w:hAnsi="Times New Roman" w:cs="Times New Roman"/>
          <w:b/>
        </w:rPr>
        <w:t>Gerival</w:t>
      </w:r>
      <w:proofErr w:type="spellEnd"/>
      <w:r w:rsidR="00DC2C7E">
        <w:rPr>
          <w:rFonts w:ascii="Times New Roman" w:hAnsi="Times New Roman" w:cs="Times New Roman"/>
          <w:b/>
        </w:rPr>
        <w:t xml:space="preserve"> Vieira</w:t>
      </w:r>
    </w:p>
    <w:p w:rsidR="00EF0AFE" w:rsidRPr="005D30B9" w:rsidRDefault="00DC2C7E" w:rsidP="00B020C1">
      <w:pPr>
        <w:tabs>
          <w:tab w:val="left" w:pos="6096"/>
        </w:tabs>
        <w:spacing w:after="0" w:line="360" w:lineRule="auto"/>
        <w:ind w:left="4252"/>
        <w:jc w:val="both"/>
        <w:rPr>
          <w:rFonts w:ascii="Times New Roman" w:hAnsi="Times New Roman" w:cs="Times New Roman"/>
          <w:b/>
        </w:rPr>
      </w:pPr>
      <w:proofErr w:type="spellStart"/>
      <w:r>
        <w:rPr>
          <w:rFonts w:ascii="Times New Roman" w:hAnsi="Times New Roman" w:cs="Times New Roman"/>
          <w:b/>
        </w:rPr>
        <w:t>Coorientador</w:t>
      </w:r>
      <w:proofErr w:type="spellEnd"/>
      <w:r w:rsidR="00EF0AFE" w:rsidRPr="005D30B9">
        <w:rPr>
          <w:rFonts w:ascii="Times New Roman" w:hAnsi="Times New Roman" w:cs="Times New Roman"/>
          <w:b/>
        </w:rPr>
        <w:t>:</w:t>
      </w:r>
      <w:r>
        <w:rPr>
          <w:rFonts w:ascii="Times New Roman" w:hAnsi="Times New Roman" w:cs="Times New Roman"/>
          <w:b/>
        </w:rPr>
        <w:t xml:space="preserve"> Tiago </w:t>
      </w:r>
      <w:proofErr w:type="spellStart"/>
      <w:r>
        <w:rPr>
          <w:rFonts w:ascii="Times New Roman" w:hAnsi="Times New Roman" w:cs="Times New Roman"/>
          <w:b/>
        </w:rPr>
        <w:t>Mencaroni</w:t>
      </w:r>
      <w:proofErr w:type="spellEnd"/>
      <w:r>
        <w:rPr>
          <w:rFonts w:ascii="Times New Roman" w:hAnsi="Times New Roman" w:cs="Times New Roman"/>
          <w:b/>
        </w:rPr>
        <w:t xml:space="preserve"> </w:t>
      </w:r>
      <w:proofErr w:type="spellStart"/>
      <w:r>
        <w:rPr>
          <w:rFonts w:ascii="Times New Roman" w:hAnsi="Times New Roman" w:cs="Times New Roman"/>
          <w:b/>
        </w:rPr>
        <w:t>Guazzelli</w:t>
      </w:r>
      <w:proofErr w:type="spellEnd"/>
      <w:r w:rsidR="001165FF" w:rsidRPr="005D30B9">
        <w:rPr>
          <w:rFonts w:ascii="Times New Roman" w:hAnsi="Times New Roman" w:cs="Times New Roman"/>
          <w:b/>
        </w:rPr>
        <w:tab/>
      </w:r>
    </w:p>
    <w:p w:rsidR="005F28E1" w:rsidRPr="005D30B9" w:rsidRDefault="005F28E1" w:rsidP="00772C69">
      <w:pPr>
        <w:spacing w:after="0" w:line="360" w:lineRule="auto"/>
        <w:jc w:val="both"/>
        <w:rPr>
          <w:rFonts w:ascii="Times New Roman" w:hAnsi="Times New Roman" w:cs="Times New Roman"/>
          <w:b/>
          <w:sz w:val="24"/>
          <w:szCs w:val="24"/>
        </w:rPr>
      </w:pPr>
    </w:p>
    <w:p w:rsidR="00997075" w:rsidRPr="005D30B9" w:rsidRDefault="00997075" w:rsidP="00772C69">
      <w:pPr>
        <w:spacing w:after="0" w:line="360" w:lineRule="auto"/>
        <w:jc w:val="both"/>
        <w:rPr>
          <w:rFonts w:ascii="Times New Roman" w:hAnsi="Times New Roman" w:cs="Times New Roman"/>
          <w:b/>
          <w:sz w:val="24"/>
          <w:szCs w:val="24"/>
        </w:rPr>
      </w:pPr>
    </w:p>
    <w:p w:rsidR="00997075" w:rsidRPr="005D30B9" w:rsidRDefault="00997075" w:rsidP="00772C69">
      <w:pPr>
        <w:spacing w:after="0" w:line="360" w:lineRule="auto"/>
        <w:jc w:val="both"/>
        <w:rPr>
          <w:rFonts w:ascii="Times New Roman" w:hAnsi="Times New Roman" w:cs="Times New Roman"/>
          <w:b/>
          <w:sz w:val="24"/>
          <w:szCs w:val="24"/>
        </w:rPr>
      </w:pPr>
    </w:p>
    <w:p w:rsidR="00EF0AFE" w:rsidRPr="005D30B9" w:rsidRDefault="00EF0AFE" w:rsidP="00772C69">
      <w:pPr>
        <w:spacing w:after="0" w:line="360" w:lineRule="auto"/>
        <w:jc w:val="both"/>
        <w:rPr>
          <w:rFonts w:ascii="Times New Roman" w:hAnsi="Times New Roman" w:cs="Times New Roman"/>
          <w:b/>
          <w:sz w:val="24"/>
          <w:szCs w:val="24"/>
        </w:rPr>
      </w:pPr>
    </w:p>
    <w:p w:rsidR="00EF0AFE" w:rsidRPr="005D30B9" w:rsidRDefault="00EF0AFE" w:rsidP="00772C69">
      <w:pPr>
        <w:spacing w:after="0" w:line="360" w:lineRule="auto"/>
        <w:jc w:val="both"/>
        <w:rPr>
          <w:rFonts w:ascii="Times New Roman" w:hAnsi="Times New Roman" w:cs="Times New Roman"/>
          <w:b/>
          <w:sz w:val="24"/>
          <w:szCs w:val="24"/>
        </w:rPr>
      </w:pPr>
    </w:p>
    <w:p w:rsidR="00EF0AFE" w:rsidRPr="005D30B9" w:rsidRDefault="00EF0AFE" w:rsidP="00772C69">
      <w:pPr>
        <w:spacing w:after="0" w:line="360" w:lineRule="auto"/>
        <w:jc w:val="both"/>
        <w:rPr>
          <w:rFonts w:ascii="Times New Roman" w:hAnsi="Times New Roman" w:cs="Times New Roman"/>
          <w:b/>
          <w:sz w:val="24"/>
          <w:szCs w:val="24"/>
        </w:rPr>
      </w:pPr>
    </w:p>
    <w:p w:rsidR="00772C69" w:rsidRPr="005D30B9" w:rsidRDefault="00772C69" w:rsidP="00772C69">
      <w:pPr>
        <w:spacing w:after="0" w:line="360" w:lineRule="auto"/>
        <w:jc w:val="both"/>
        <w:rPr>
          <w:rFonts w:ascii="Times New Roman" w:hAnsi="Times New Roman" w:cs="Times New Roman"/>
          <w:b/>
          <w:sz w:val="24"/>
          <w:szCs w:val="24"/>
        </w:rPr>
      </w:pPr>
    </w:p>
    <w:p w:rsidR="00772C69" w:rsidRPr="005D30B9" w:rsidRDefault="00772C69" w:rsidP="00772C69">
      <w:pPr>
        <w:spacing w:after="0" w:line="360" w:lineRule="auto"/>
        <w:jc w:val="both"/>
        <w:rPr>
          <w:rFonts w:ascii="Times New Roman" w:hAnsi="Times New Roman" w:cs="Times New Roman"/>
          <w:b/>
          <w:sz w:val="24"/>
          <w:szCs w:val="24"/>
        </w:rPr>
      </w:pPr>
    </w:p>
    <w:p w:rsidR="00EF0AFE" w:rsidRPr="005D30B9" w:rsidRDefault="00EF0AFE" w:rsidP="00772C69">
      <w:pPr>
        <w:spacing w:after="0" w:line="360" w:lineRule="auto"/>
        <w:jc w:val="both"/>
        <w:rPr>
          <w:rFonts w:ascii="Times New Roman" w:hAnsi="Times New Roman" w:cs="Times New Roman"/>
          <w:b/>
          <w:sz w:val="24"/>
          <w:szCs w:val="24"/>
        </w:rPr>
      </w:pPr>
    </w:p>
    <w:p w:rsidR="00EF0AFE" w:rsidRPr="005D30B9" w:rsidRDefault="00EF0AFE" w:rsidP="00772C69">
      <w:pPr>
        <w:spacing w:after="0" w:line="360" w:lineRule="auto"/>
        <w:jc w:val="both"/>
        <w:rPr>
          <w:rFonts w:ascii="Times New Roman" w:hAnsi="Times New Roman" w:cs="Times New Roman"/>
          <w:b/>
          <w:sz w:val="24"/>
          <w:szCs w:val="24"/>
        </w:rPr>
      </w:pPr>
    </w:p>
    <w:p w:rsidR="005F28E1" w:rsidRPr="005D30B9" w:rsidRDefault="005F28E1" w:rsidP="00772C69">
      <w:pPr>
        <w:spacing w:after="0" w:line="360" w:lineRule="auto"/>
        <w:jc w:val="center"/>
        <w:rPr>
          <w:rFonts w:ascii="Times New Roman" w:hAnsi="Times New Roman" w:cs="Times New Roman"/>
          <w:b/>
          <w:sz w:val="24"/>
          <w:szCs w:val="24"/>
        </w:rPr>
      </w:pPr>
      <w:r w:rsidRPr="005D30B9">
        <w:rPr>
          <w:rFonts w:ascii="Times New Roman" w:hAnsi="Times New Roman" w:cs="Times New Roman"/>
          <w:b/>
          <w:sz w:val="24"/>
          <w:szCs w:val="24"/>
        </w:rPr>
        <w:t>V</w:t>
      </w:r>
      <w:r w:rsidR="00EF0AFE" w:rsidRPr="005D30B9">
        <w:rPr>
          <w:rFonts w:ascii="Times New Roman" w:hAnsi="Times New Roman" w:cs="Times New Roman"/>
          <w:b/>
          <w:sz w:val="24"/>
          <w:szCs w:val="24"/>
        </w:rPr>
        <w:t>IÇOSA</w:t>
      </w:r>
      <w:r w:rsidRPr="005D30B9">
        <w:rPr>
          <w:rFonts w:ascii="Times New Roman" w:hAnsi="Times New Roman" w:cs="Times New Roman"/>
          <w:b/>
          <w:sz w:val="24"/>
          <w:szCs w:val="24"/>
        </w:rPr>
        <w:t xml:space="preserve"> – M</w:t>
      </w:r>
      <w:r w:rsidR="00EF0AFE" w:rsidRPr="005D30B9">
        <w:rPr>
          <w:rFonts w:ascii="Times New Roman" w:hAnsi="Times New Roman" w:cs="Times New Roman"/>
          <w:b/>
          <w:sz w:val="24"/>
          <w:szCs w:val="24"/>
        </w:rPr>
        <w:t xml:space="preserve">INAS </w:t>
      </w:r>
      <w:r w:rsidRPr="005D30B9">
        <w:rPr>
          <w:rFonts w:ascii="Times New Roman" w:hAnsi="Times New Roman" w:cs="Times New Roman"/>
          <w:b/>
          <w:sz w:val="24"/>
          <w:szCs w:val="24"/>
        </w:rPr>
        <w:t>G</w:t>
      </w:r>
      <w:r w:rsidR="00EF0AFE" w:rsidRPr="005D30B9">
        <w:rPr>
          <w:rFonts w:ascii="Times New Roman" w:hAnsi="Times New Roman" w:cs="Times New Roman"/>
          <w:b/>
          <w:sz w:val="24"/>
          <w:szCs w:val="24"/>
        </w:rPr>
        <w:t>ERAIS</w:t>
      </w:r>
    </w:p>
    <w:p w:rsidR="00992CFB" w:rsidRPr="005D30B9" w:rsidRDefault="00EF0AFE" w:rsidP="00992CFB">
      <w:pPr>
        <w:spacing w:after="0" w:line="360" w:lineRule="auto"/>
        <w:jc w:val="center"/>
        <w:rPr>
          <w:rFonts w:ascii="Times New Roman" w:hAnsi="Times New Roman" w:cs="Times New Roman"/>
          <w:b/>
          <w:sz w:val="24"/>
          <w:szCs w:val="24"/>
        </w:rPr>
      </w:pPr>
      <w:r w:rsidRPr="005D30B9">
        <w:rPr>
          <w:rFonts w:ascii="Times New Roman" w:hAnsi="Times New Roman" w:cs="Times New Roman"/>
          <w:b/>
          <w:sz w:val="24"/>
          <w:szCs w:val="24"/>
        </w:rPr>
        <w:t>2016</w:t>
      </w:r>
      <w:r w:rsidR="00992CFB" w:rsidRPr="005D30B9">
        <w:rPr>
          <w:rFonts w:ascii="Times New Roman" w:hAnsi="Times New Roman" w:cs="Times New Roman"/>
          <w:b/>
          <w:sz w:val="24"/>
          <w:szCs w:val="24"/>
        </w:rPr>
        <w:br w:type="page"/>
      </w:r>
    </w:p>
    <w:p w:rsidR="001165FF" w:rsidRPr="005D30B9" w:rsidRDefault="004753CF" w:rsidP="001165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VINICIUS DE PAULA FIALHO</w:t>
      </w:r>
    </w:p>
    <w:p w:rsidR="001165FF" w:rsidRPr="005D30B9" w:rsidRDefault="001165FF" w:rsidP="001165FF">
      <w:pPr>
        <w:spacing w:after="0" w:line="360" w:lineRule="auto"/>
        <w:jc w:val="center"/>
        <w:rPr>
          <w:rFonts w:ascii="Times New Roman" w:hAnsi="Times New Roman" w:cs="Times New Roman"/>
          <w:b/>
          <w:sz w:val="24"/>
          <w:szCs w:val="24"/>
        </w:rPr>
      </w:pPr>
    </w:p>
    <w:p w:rsidR="001165FF" w:rsidRPr="005D30B9" w:rsidRDefault="001165FF" w:rsidP="001165FF">
      <w:pPr>
        <w:spacing w:after="0" w:line="360" w:lineRule="auto"/>
        <w:jc w:val="center"/>
        <w:rPr>
          <w:rFonts w:ascii="Times New Roman" w:hAnsi="Times New Roman" w:cs="Times New Roman"/>
          <w:b/>
          <w:sz w:val="24"/>
          <w:szCs w:val="24"/>
        </w:rPr>
      </w:pPr>
    </w:p>
    <w:p w:rsidR="00997075" w:rsidRPr="005D30B9" w:rsidRDefault="00997075" w:rsidP="001165FF">
      <w:pPr>
        <w:spacing w:after="0" w:line="360" w:lineRule="auto"/>
        <w:jc w:val="center"/>
        <w:rPr>
          <w:rFonts w:ascii="Times New Roman" w:hAnsi="Times New Roman" w:cs="Times New Roman"/>
          <w:b/>
          <w:sz w:val="24"/>
          <w:szCs w:val="24"/>
        </w:rPr>
      </w:pPr>
    </w:p>
    <w:p w:rsidR="001165FF" w:rsidRPr="005D30B9" w:rsidRDefault="001165FF" w:rsidP="001165FF">
      <w:pPr>
        <w:spacing w:after="0" w:line="360" w:lineRule="auto"/>
        <w:jc w:val="center"/>
        <w:rPr>
          <w:rFonts w:ascii="Times New Roman" w:hAnsi="Times New Roman" w:cs="Times New Roman"/>
          <w:b/>
          <w:sz w:val="24"/>
          <w:szCs w:val="24"/>
        </w:rPr>
      </w:pPr>
    </w:p>
    <w:p w:rsidR="001165FF" w:rsidRPr="005D30B9" w:rsidRDefault="001165FF" w:rsidP="001165FF">
      <w:pPr>
        <w:spacing w:after="0" w:line="360" w:lineRule="auto"/>
        <w:jc w:val="center"/>
        <w:rPr>
          <w:rFonts w:ascii="Times New Roman" w:hAnsi="Times New Roman" w:cs="Times New Roman"/>
          <w:b/>
          <w:sz w:val="24"/>
          <w:szCs w:val="24"/>
        </w:rPr>
      </w:pPr>
    </w:p>
    <w:p w:rsidR="0027730B" w:rsidRPr="005D30B9" w:rsidRDefault="0027730B" w:rsidP="0027730B">
      <w:pPr>
        <w:spacing w:after="0" w:line="360" w:lineRule="auto"/>
        <w:jc w:val="center"/>
        <w:rPr>
          <w:rFonts w:ascii="Times New Roman" w:hAnsi="Times New Roman" w:cs="Times New Roman"/>
          <w:b/>
          <w:sz w:val="24"/>
          <w:szCs w:val="24"/>
        </w:rPr>
      </w:pPr>
    </w:p>
    <w:p w:rsidR="0027730B" w:rsidRDefault="0027730B" w:rsidP="002773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DIAGNÓSTICO DAS AUTUAÇÕES AMBIENTAIS DA ZONA DA MATA MINEIRA:</w:t>
      </w:r>
    </w:p>
    <w:p w:rsidR="0027730B" w:rsidRPr="005D30B9" w:rsidRDefault="0027730B" w:rsidP="0027730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TIPOS E OCORRÊNCIAS ANUAIS</w:t>
      </w:r>
    </w:p>
    <w:p w:rsidR="001165FF" w:rsidRPr="005D30B9" w:rsidRDefault="001165FF" w:rsidP="001165FF">
      <w:pPr>
        <w:spacing w:after="0" w:line="360" w:lineRule="auto"/>
        <w:jc w:val="center"/>
        <w:rPr>
          <w:rFonts w:ascii="Times New Roman" w:hAnsi="Times New Roman" w:cs="Times New Roman"/>
          <w:b/>
          <w:sz w:val="24"/>
          <w:szCs w:val="24"/>
        </w:rPr>
      </w:pPr>
    </w:p>
    <w:p w:rsidR="001165FF" w:rsidRPr="005D30B9" w:rsidRDefault="001165FF" w:rsidP="001165FF">
      <w:pPr>
        <w:spacing w:after="0" w:line="360" w:lineRule="auto"/>
        <w:jc w:val="center"/>
        <w:rPr>
          <w:rFonts w:ascii="Times New Roman" w:hAnsi="Times New Roman" w:cs="Times New Roman"/>
          <w:b/>
          <w:sz w:val="24"/>
          <w:szCs w:val="24"/>
        </w:rPr>
      </w:pPr>
    </w:p>
    <w:p w:rsidR="00997075" w:rsidRPr="005D30B9" w:rsidRDefault="00997075" w:rsidP="001165FF">
      <w:pPr>
        <w:spacing w:after="0" w:line="360" w:lineRule="auto"/>
        <w:jc w:val="center"/>
        <w:rPr>
          <w:rFonts w:ascii="Times New Roman" w:hAnsi="Times New Roman" w:cs="Times New Roman"/>
          <w:b/>
          <w:sz w:val="24"/>
          <w:szCs w:val="24"/>
        </w:rPr>
      </w:pPr>
    </w:p>
    <w:p w:rsidR="00997075" w:rsidRPr="005D30B9" w:rsidRDefault="00997075" w:rsidP="001165FF">
      <w:pPr>
        <w:spacing w:after="0" w:line="360" w:lineRule="auto"/>
        <w:jc w:val="center"/>
        <w:rPr>
          <w:rFonts w:ascii="Times New Roman" w:hAnsi="Times New Roman" w:cs="Times New Roman"/>
          <w:b/>
          <w:sz w:val="24"/>
          <w:szCs w:val="24"/>
        </w:rPr>
      </w:pPr>
    </w:p>
    <w:p w:rsidR="001165FF" w:rsidRPr="005D30B9" w:rsidRDefault="001165FF" w:rsidP="001165FF">
      <w:pPr>
        <w:spacing w:after="0" w:line="360" w:lineRule="auto"/>
        <w:jc w:val="center"/>
        <w:rPr>
          <w:rFonts w:ascii="Times New Roman" w:hAnsi="Times New Roman" w:cs="Times New Roman"/>
          <w:b/>
          <w:sz w:val="24"/>
          <w:szCs w:val="24"/>
        </w:rPr>
      </w:pPr>
    </w:p>
    <w:p w:rsidR="001165FF" w:rsidRPr="005D30B9" w:rsidRDefault="001165FF" w:rsidP="001165FF">
      <w:pPr>
        <w:spacing w:after="0" w:line="360" w:lineRule="auto"/>
        <w:rPr>
          <w:rFonts w:ascii="Times New Roman" w:hAnsi="Times New Roman" w:cs="Times New Roman"/>
          <w:b/>
          <w:sz w:val="24"/>
          <w:szCs w:val="24"/>
        </w:rPr>
      </w:pPr>
    </w:p>
    <w:p w:rsidR="00A11E9A" w:rsidRDefault="00A11E9A" w:rsidP="00A11E9A">
      <w:pPr>
        <w:spacing w:after="0" w:line="360" w:lineRule="auto"/>
        <w:ind w:left="4252"/>
        <w:jc w:val="both"/>
        <w:rPr>
          <w:rFonts w:ascii="Times New Roman" w:hAnsi="Times New Roman" w:cs="Times New Roman"/>
          <w:b/>
        </w:rPr>
      </w:pPr>
      <w:r>
        <w:rPr>
          <w:rFonts w:ascii="Times New Roman" w:hAnsi="Times New Roman" w:cs="Times New Roman"/>
          <w:b/>
        </w:rPr>
        <w:t>Trabalho de conclusão de curso apresentado à Universidade Federal de Viçosa como parte das exigências para a obtenção do título de Engenheiro Agrônomo. Modalidade: Revisão de Literatura.</w:t>
      </w:r>
    </w:p>
    <w:p w:rsidR="001165FF" w:rsidRPr="005D30B9" w:rsidRDefault="001165FF" w:rsidP="001165FF">
      <w:pPr>
        <w:spacing w:after="0" w:line="360" w:lineRule="auto"/>
        <w:ind w:left="4253"/>
        <w:jc w:val="both"/>
        <w:rPr>
          <w:rFonts w:ascii="Times New Roman" w:hAnsi="Times New Roman" w:cs="Times New Roman"/>
          <w:b/>
        </w:rPr>
      </w:pPr>
    </w:p>
    <w:p w:rsidR="001165FF" w:rsidRPr="005D30B9" w:rsidRDefault="001165FF" w:rsidP="001165FF">
      <w:pPr>
        <w:spacing w:after="0" w:line="360" w:lineRule="auto"/>
        <w:jc w:val="both"/>
        <w:rPr>
          <w:rFonts w:ascii="Times New Roman" w:hAnsi="Times New Roman" w:cs="Times New Roman"/>
          <w:sz w:val="24"/>
          <w:szCs w:val="24"/>
        </w:rPr>
      </w:pPr>
    </w:p>
    <w:p w:rsidR="00121E5A" w:rsidRPr="005D30B9" w:rsidRDefault="00121E5A" w:rsidP="001165FF">
      <w:pPr>
        <w:spacing w:after="0" w:line="360" w:lineRule="auto"/>
        <w:jc w:val="both"/>
        <w:rPr>
          <w:rFonts w:ascii="Times New Roman" w:hAnsi="Times New Roman" w:cs="Times New Roman"/>
          <w:sz w:val="24"/>
          <w:szCs w:val="24"/>
        </w:rPr>
      </w:pPr>
    </w:p>
    <w:p w:rsidR="001165FF" w:rsidRPr="005D30B9" w:rsidRDefault="001165FF" w:rsidP="001165FF">
      <w:pPr>
        <w:spacing w:after="0" w:line="360" w:lineRule="auto"/>
        <w:jc w:val="both"/>
        <w:rPr>
          <w:rFonts w:ascii="Times New Roman" w:hAnsi="Times New Roman" w:cs="Times New Roman"/>
          <w:color w:val="FF0000"/>
          <w:sz w:val="24"/>
          <w:szCs w:val="24"/>
        </w:rPr>
      </w:pPr>
      <w:r w:rsidRPr="005D30B9">
        <w:rPr>
          <w:rFonts w:ascii="Times New Roman" w:hAnsi="Times New Roman" w:cs="Times New Roman"/>
          <w:sz w:val="24"/>
          <w:szCs w:val="24"/>
        </w:rPr>
        <w:t>APROVAD</w:t>
      </w:r>
      <w:r w:rsidR="00FB5E05" w:rsidRPr="005D30B9">
        <w:rPr>
          <w:rFonts w:ascii="Times New Roman" w:hAnsi="Times New Roman" w:cs="Times New Roman"/>
          <w:sz w:val="24"/>
          <w:szCs w:val="24"/>
        </w:rPr>
        <w:t>O</w:t>
      </w:r>
      <w:r w:rsidRPr="005D30B9">
        <w:rPr>
          <w:rFonts w:ascii="Times New Roman" w:hAnsi="Times New Roman" w:cs="Times New Roman"/>
          <w:sz w:val="24"/>
          <w:szCs w:val="24"/>
        </w:rPr>
        <w:t xml:space="preserve">: </w:t>
      </w:r>
    </w:p>
    <w:p w:rsidR="00992CFB" w:rsidRPr="005D30B9" w:rsidRDefault="00992CFB" w:rsidP="001165FF">
      <w:pPr>
        <w:spacing w:after="0" w:line="360" w:lineRule="auto"/>
        <w:jc w:val="both"/>
        <w:rPr>
          <w:rFonts w:ascii="Times New Roman" w:hAnsi="Times New Roman" w:cs="Times New Roman"/>
          <w:sz w:val="24"/>
          <w:szCs w:val="24"/>
        </w:rPr>
      </w:pPr>
    </w:p>
    <w:p w:rsidR="00992CFB" w:rsidRDefault="00992CFB" w:rsidP="001165FF">
      <w:pPr>
        <w:spacing w:after="0" w:line="360" w:lineRule="auto"/>
        <w:jc w:val="both"/>
        <w:rPr>
          <w:rFonts w:ascii="Times New Roman" w:hAnsi="Times New Roman" w:cs="Times New Roman"/>
          <w:sz w:val="24"/>
          <w:szCs w:val="24"/>
        </w:rPr>
      </w:pPr>
    </w:p>
    <w:p w:rsidR="004824E4" w:rsidRDefault="004824E4" w:rsidP="001165FF">
      <w:pPr>
        <w:spacing w:after="0" w:line="360" w:lineRule="auto"/>
        <w:jc w:val="both"/>
        <w:rPr>
          <w:rFonts w:ascii="Times New Roman" w:hAnsi="Times New Roman" w:cs="Times New Roman"/>
          <w:sz w:val="24"/>
          <w:szCs w:val="24"/>
        </w:rPr>
      </w:pPr>
    </w:p>
    <w:p w:rsidR="004824E4" w:rsidRPr="005D30B9" w:rsidRDefault="004824E4" w:rsidP="001165FF">
      <w:pPr>
        <w:spacing w:after="0" w:line="360" w:lineRule="auto"/>
        <w:jc w:val="both"/>
        <w:rPr>
          <w:rFonts w:ascii="Times New Roman" w:hAnsi="Times New Roman" w:cs="Times New Roman"/>
          <w:sz w:val="24"/>
          <w:szCs w:val="24"/>
        </w:rPr>
      </w:pPr>
    </w:p>
    <w:tbl>
      <w:tblPr>
        <w:tblStyle w:val="Tabelacomgrade"/>
        <w:tblpPr w:leftFromText="141" w:rightFromText="141" w:vertAnchor="text" w:horzAnchor="margin" w:tblpXSpec="center" w:tblpY="39"/>
        <w:tblW w:w="0" w:type="auto"/>
        <w:tblLook w:val="04A0" w:firstRow="1" w:lastRow="0" w:firstColumn="1" w:lastColumn="0" w:noHBand="0" w:noVBand="1"/>
      </w:tblPr>
      <w:tblGrid>
        <w:gridCol w:w="5382"/>
      </w:tblGrid>
      <w:tr w:rsidR="00DC2C7E" w:rsidRPr="005D30B9" w:rsidTr="00DC2C7E">
        <w:tc>
          <w:tcPr>
            <w:tcW w:w="5382" w:type="dxa"/>
            <w:tcBorders>
              <w:top w:val="single" w:sz="4" w:space="0" w:color="auto"/>
              <w:left w:val="nil"/>
              <w:bottom w:val="nil"/>
              <w:right w:val="nil"/>
            </w:tcBorders>
          </w:tcPr>
          <w:p w:rsidR="00DC2C7E" w:rsidRPr="005D30B9" w:rsidRDefault="00DC2C7E" w:rsidP="00DC2C7E">
            <w:pPr>
              <w:jc w:val="cente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Gerival</w:t>
            </w:r>
            <w:proofErr w:type="spellEnd"/>
            <w:r w:rsidR="004824E4">
              <w:rPr>
                <w:rFonts w:ascii="Times New Roman" w:hAnsi="Times New Roman" w:cs="Times New Roman"/>
                <w:sz w:val="24"/>
                <w:szCs w:val="24"/>
              </w:rPr>
              <w:t xml:space="preserve"> Vieira</w:t>
            </w:r>
          </w:p>
          <w:p w:rsidR="00DC2C7E" w:rsidRPr="005D30B9" w:rsidRDefault="00DC2C7E" w:rsidP="00DC2C7E">
            <w:pPr>
              <w:jc w:val="center"/>
              <w:rPr>
                <w:rFonts w:ascii="Times New Roman" w:hAnsi="Times New Roman" w:cs="Times New Roman"/>
                <w:sz w:val="24"/>
                <w:szCs w:val="24"/>
              </w:rPr>
            </w:pPr>
            <w:r w:rsidRPr="005D30B9">
              <w:rPr>
                <w:rFonts w:ascii="Times New Roman" w:hAnsi="Times New Roman" w:cs="Times New Roman"/>
                <w:sz w:val="24"/>
                <w:szCs w:val="24"/>
              </w:rPr>
              <w:t>(orientador)</w:t>
            </w:r>
          </w:p>
          <w:p w:rsidR="00DC2C7E" w:rsidRPr="005D30B9" w:rsidRDefault="00DC2C7E" w:rsidP="00DC2C7E">
            <w:pPr>
              <w:jc w:val="center"/>
              <w:rPr>
                <w:rFonts w:ascii="Times New Roman" w:hAnsi="Times New Roman" w:cs="Times New Roman"/>
                <w:sz w:val="24"/>
                <w:szCs w:val="24"/>
              </w:rPr>
            </w:pPr>
            <w:r w:rsidRPr="005D30B9">
              <w:rPr>
                <w:rFonts w:ascii="Times New Roman" w:hAnsi="Times New Roman" w:cs="Times New Roman"/>
                <w:sz w:val="24"/>
                <w:szCs w:val="24"/>
              </w:rPr>
              <w:t>(UFV)</w:t>
            </w:r>
          </w:p>
        </w:tc>
      </w:tr>
    </w:tbl>
    <w:p w:rsidR="00992CFB" w:rsidRPr="005D30B9" w:rsidRDefault="00992CFB" w:rsidP="001165FF">
      <w:pPr>
        <w:spacing w:after="0" w:line="360" w:lineRule="auto"/>
        <w:jc w:val="both"/>
        <w:rPr>
          <w:rFonts w:ascii="Times New Roman" w:hAnsi="Times New Roman" w:cs="Times New Roman"/>
          <w:sz w:val="24"/>
          <w:szCs w:val="24"/>
        </w:rPr>
      </w:pPr>
    </w:p>
    <w:p w:rsidR="00997075" w:rsidRPr="005D30B9" w:rsidRDefault="00997075" w:rsidP="001165FF">
      <w:pPr>
        <w:spacing w:after="0" w:line="360" w:lineRule="auto"/>
        <w:jc w:val="both"/>
        <w:rPr>
          <w:rFonts w:ascii="Times New Roman" w:hAnsi="Times New Roman" w:cs="Times New Roman"/>
          <w:sz w:val="24"/>
          <w:szCs w:val="24"/>
        </w:rPr>
      </w:pPr>
    </w:p>
    <w:p w:rsidR="00997075" w:rsidRPr="005D30B9" w:rsidRDefault="00997075" w:rsidP="001165FF">
      <w:pPr>
        <w:spacing w:after="0" w:line="360" w:lineRule="auto"/>
        <w:jc w:val="both"/>
        <w:rPr>
          <w:rFonts w:ascii="Times New Roman" w:hAnsi="Times New Roman" w:cs="Times New Roman"/>
          <w:sz w:val="24"/>
          <w:szCs w:val="24"/>
        </w:rPr>
      </w:pPr>
    </w:p>
    <w:p w:rsidR="00997075" w:rsidRPr="005D30B9" w:rsidRDefault="00997075" w:rsidP="001165FF">
      <w:pPr>
        <w:spacing w:after="0" w:line="360" w:lineRule="auto"/>
        <w:jc w:val="both"/>
        <w:rPr>
          <w:rFonts w:ascii="Times New Roman" w:hAnsi="Times New Roman" w:cs="Times New Roman"/>
          <w:sz w:val="24"/>
          <w:szCs w:val="24"/>
        </w:rPr>
      </w:pPr>
    </w:p>
    <w:p w:rsidR="001165FF" w:rsidRPr="005D30B9" w:rsidRDefault="001165FF"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2CFB" w:rsidRPr="005D30B9" w:rsidRDefault="00992CFB" w:rsidP="001165FF">
      <w:pPr>
        <w:spacing w:after="0" w:line="360" w:lineRule="auto"/>
        <w:jc w:val="both"/>
        <w:rPr>
          <w:rFonts w:ascii="Times New Roman" w:hAnsi="Times New Roman" w:cs="Times New Roman"/>
          <w:sz w:val="24"/>
          <w:szCs w:val="24"/>
        </w:rPr>
      </w:pPr>
    </w:p>
    <w:p w:rsidR="00997075" w:rsidRPr="005D30B9" w:rsidRDefault="00997075" w:rsidP="001165FF">
      <w:pPr>
        <w:spacing w:after="0" w:line="360" w:lineRule="auto"/>
        <w:jc w:val="both"/>
        <w:rPr>
          <w:rFonts w:ascii="Times New Roman" w:hAnsi="Times New Roman" w:cs="Times New Roman"/>
          <w:sz w:val="24"/>
          <w:szCs w:val="24"/>
        </w:rPr>
      </w:pPr>
    </w:p>
    <w:p w:rsidR="00997075" w:rsidRPr="005D30B9" w:rsidRDefault="00997075" w:rsidP="001165FF">
      <w:pPr>
        <w:spacing w:after="0" w:line="360" w:lineRule="auto"/>
        <w:jc w:val="both"/>
        <w:rPr>
          <w:rFonts w:ascii="Times New Roman" w:hAnsi="Times New Roman" w:cs="Times New Roman"/>
          <w:sz w:val="24"/>
          <w:szCs w:val="24"/>
        </w:rPr>
      </w:pPr>
    </w:p>
    <w:p w:rsidR="00997075" w:rsidRPr="005D30B9" w:rsidRDefault="00997075" w:rsidP="001165FF">
      <w:pPr>
        <w:spacing w:after="0" w:line="360" w:lineRule="auto"/>
        <w:jc w:val="both"/>
        <w:rPr>
          <w:rFonts w:ascii="Times New Roman" w:hAnsi="Times New Roman" w:cs="Times New Roman"/>
          <w:sz w:val="24"/>
          <w:szCs w:val="24"/>
        </w:rPr>
      </w:pPr>
    </w:p>
    <w:p w:rsidR="00992CFB" w:rsidRDefault="00992CFB" w:rsidP="001165FF">
      <w:pPr>
        <w:spacing w:after="0" w:line="360" w:lineRule="auto"/>
        <w:jc w:val="both"/>
        <w:rPr>
          <w:rFonts w:ascii="Times New Roman" w:hAnsi="Times New Roman" w:cs="Times New Roman"/>
          <w:sz w:val="24"/>
          <w:szCs w:val="24"/>
        </w:rPr>
      </w:pPr>
    </w:p>
    <w:p w:rsidR="004753CF" w:rsidRDefault="004753CF" w:rsidP="001165FF">
      <w:pPr>
        <w:spacing w:after="0" w:line="360" w:lineRule="auto"/>
        <w:jc w:val="both"/>
        <w:rPr>
          <w:rFonts w:ascii="Times New Roman" w:hAnsi="Times New Roman" w:cs="Times New Roman"/>
          <w:sz w:val="24"/>
          <w:szCs w:val="24"/>
        </w:rPr>
      </w:pPr>
    </w:p>
    <w:p w:rsidR="004753CF" w:rsidRPr="005D30B9" w:rsidRDefault="004753CF" w:rsidP="001165FF">
      <w:pPr>
        <w:spacing w:after="0" w:line="360" w:lineRule="auto"/>
        <w:jc w:val="both"/>
        <w:rPr>
          <w:rFonts w:ascii="Times New Roman" w:hAnsi="Times New Roman" w:cs="Times New Roman"/>
          <w:sz w:val="24"/>
          <w:szCs w:val="24"/>
        </w:rPr>
      </w:pPr>
    </w:p>
    <w:p w:rsidR="00992CFB" w:rsidRDefault="004753CF" w:rsidP="00992CFB">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Dedico este texto primeiramente á Deus,</w:t>
      </w:r>
    </w:p>
    <w:p w:rsidR="004753CF" w:rsidRDefault="004824E4" w:rsidP="004753CF">
      <w:pPr>
        <w:spacing w:after="0" w:line="36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a</w:t>
      </w:r>
      <w:r w:rsidR="004753CF">
        <w:rPr>
          <w:rFonts w:ascii="Times New Roman" w:hAnsi="Times New Roman" w:cs="Times New Roman"/>
          <w:b/>
          <w:sz w:val="24"/>
          <w:szCs w:val="24"/>
        </w:rPr>
        <w:t>os</w:t>
      </w:r>
      <w:proofErr w:type="gramEnd"/>
      <w:r w:rsidR="004753CF">
        <w:rPr>
          <w:rFonts w:ascii="Times New Roman" w:hAnsi="Times New Roman" w:cs="Times New Roman"/>
          <w:b/>
          <w:sz w:val="24"/>
          <w:szCs w:val="24"/>
        </w:rPr>
        <w:t xml:space="preserve"> familiares e amigos que colaboram</w:t>
      </w:r>
    </w:p>
    <w:p w:rsidR="004753CF" w:rsidRDefault="004824E4" w:rsidP="004753CF">
      <w:pPr>
        <w:spacing w:after="0" w:line="36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c</w:t>
      </w:r>
      <w:r w:rsidR="00B020C1">
        <w:rPr>
          <w:rFonts w:ascii="Times New Roman" w:hAnsi="Times New Roman" w:cs="Times New Roman"/>
          <w:b/>
          <w:sz w:val="24"/>
          <w:szCs w:val="24"/>
        </w:rPr>
        <w:t>om</w:t>
      </w:r>
      <w:proofErr w:type="gramEnd"/>
      <w:r w:rsidR="00B020C1">
        <w:rPr>
          <w:rFonts w:ascii="Times New Roman" w:hAnsi="Times New Roman" w:cs="Times New Roman"/>
          <w:b/>
          <w:sz w:val="24"/>
          <w:szCs w:val="24"/>
        </w:rPr>
        <w:t xml:space="preserve"> minha graduação e ao meu orientador</w:t>
      </w:r>
      <w:r w:rsidR="004753CF">
        <w:rPr>
          <w:rFonts w:ascii="Times New Roman" w:hAnsi="Times New Roman" w:cs="Times New Roman"/>
          <w:b/>
          <w:sz w:val="24"/>
          <w:szCs w:val="24"/>
        </w:rPr>
        <w:t xml:space="preserve"> e </w:t>
      </w:r>
    </w:p>
    <w:p w:rsidR="004753CF" w:rsidRPr="005D30B9" w:rsidRDefault="004824E4" w:rsidP="004753CF">
      <w:pPr>
        <w:spacing w:after="0" w:line="360" w:lineRule="auto"/>
        <w:jc w:val="right"/>
        <w:rPr>
          <w:rFonts w:ascii="Times New Roman" w:hAnsi="Times New Roman" w:cs="Times New Roman"/>
          <w:b/>
          <w:sz w:val="24"/>
          <w:szCs w:val="24"/>
        </w:rPr>
      </w:pPr>
      <w:proofErr w:type="spellStart"/>
      <w:proofErr w:type="gramStart"/>
      <w:r>
        <w:rPr>
          <w:rFonts w:ascii="Times New Roman" w:hAnsi="Times New Roman" w:cs="Times New Roman"/>
          <w:b/>
          <w:sz w:val="24"/>
          <w:szCs w:val="24"/>
        </w:rPr>
        <w:t>c</w:t>
      </w:r>
      <w:r w:rsidR="00201362">
        <w:rPr>
          <w:rFonts w:ascii="Times New Roman" w:hAnsi="Times New Roman" w:cs="Times New Roman"/>
          <w:b/>
          <w:sz w:val="24"/>
          <w:szCs w:val="24"/>
        </w:rPr>
        <w:t>o</w:t>
      </w:r>
      <w:r w:rsidR="00DC2C7E">
        <w:rPr>
          <w:rFonts w:ascii="Times New Roman" w:hAnsi="Times New Roman" w:cs="Times New Roman"/>
          <w:b/>
          <w:sz w:val="24"/>
          <w:szCs w:val="24"/>
        </w:rPr>
        <w:t>orientador</w:t>
      </w:r>
      <w:proofErr w:type="spellEnd"/>
      <w:proofErr w:type="gramEnd"/>
      <w:r w:rsidR="004753CF">
        <w:rPr>
          <w:rFonts w:ascii="Times New Roman" w:hAnsi="Times New Roman" w:cs="Times New Roman"/>
          <w:b/>
          <w:sz w:val="24"/>
          <w:szCs w:val="24"/>
        </w:rPr>
        <w:t>.</w:t>
      </w:r>
    </w:p>
    <w:p w:rsidR="00992CFB" w:rsidRPr="00DC2C7E" w:rsidRDefault="00992CFB" w:rsidP="00DC2C7E">
      <w:pPr>
        <w:rPr>
          <w:rFonts w:ascii="Times New Roman" w:hAnsi="Times New Roman" w:cs="Times New Roman"/>
          <w:sz w:val="24"/>
          <w:szCs w:val="24"/>
        </w:rPr>
      </w:pPr>
      <w:r w:rsidRPr="005D30B9">
        <w:rPr>
          <w:rFonts w:ascii="Times New Roman" w:hAnsi="Times New Roman" w:cs="Times New Roman"/>
          <w:sz w:val="24"/>
          <w:szCs w:val="24"/>
        </w:rPr>
        <w:br w:type="page"/>
      </w:r>
    </w:p>
    <w:p w:rsidR="00992CFB" w:rsidRPr="005D30B9" w:rsidRDefault="00992CFB">
      <w:pPr>
        <w:rPr>
          <w:rFonts w:ascii="Times New Roman" w:hAnsi="Times New Roman" w:cs="Times New Roman"/>
          <w:sz w:val="24"/>
          <w:szCs w:val="24"/>
        </w:rPr>
      </w:pPr>
    </w:p>
    <w:p w:rsidR="00147980" w:rsidRDefault="00E377B9" w:rsidP="00147980">
      <w:pPr>
        <w:spacing w:after="0" w:line="360" w:lineRule="auto"/>
        <w:jc w:val="center"/>
        <w:rPr>
          <w:rFonts w:ascii="Times New Roman" w:hAnsi="Times New Roman" w:cs="Times New Roman"/>
          <w:b/>
          <w:sz w:val="24"/>
          <w:szCs w:val="24"/>
        </w:rPr>
      </w:pPr>
      <w:r w:rsidRPr="005D30B9">
        <w:rPr>
          <w:rFonts w:ascii="Times New Roman" w:hAnsi="Times New Roman" w:cs="Times New Roman"/>
          <w:b/>
          <w:sz w:val="24"/>
          <w:szCs w:val="24"/>
        </w:rPr>
        <w:t>RESUMO</w:t>
      </w:r>
    </w:p>
    <w:p w:rsidR="00607141" w:rsidRPr="005D30B9" w:rsidRDefault="00607141" w:rsidP="00147980">
      <w:pPr>
        <w:spacing w:after="0" w:line="360" w:lineRule="auto"/>
        <w:jc w:val="center"/>
        <w:rPr>
          <w:rFonts w:ascii="Times New Roman" w:hAnsi="Times New Roman" w:cs="Times New Roman"/>
          <w:b/>
          <w:sz w:val="24"/>
          <w:szCs w:val="24"/>
        </w:rPr>
      </w:pPr>
    </w:p>
    <w:p w:rsidR="005D30B9" w:rsidRPr="00E66F8D" w:rsidRDefault="00201362" w:rsidP="00E66F8D">
      <w:pPr>
        <w:shd w:val="clear" w:color="auto" w:fill="FFFFFF" w:themeFill="background1"/>
        <w:spacing w:line="360" w:lineRule="auto"/>
        <w:jc w:val="both"/>
        <w:rPr>
          <w:rFonts w:ascii="Times New Roman" w:hAnsi="Times New Roman" w:cs="Times New Roman"/>
          <w:sz w:val="24"/>
          <w:szCs w:val="24"/>
        </w:rPr>
      </w:pPr>
      <w:r w:rsidRPr="00E66F8D">
        <w:rPr>
          <w:rFonts w:ascii="Times New Roman" w:hAnsi="Times New Roman" w:cs="Times New Roman"/>
          <w:sz w:val="24"/>
          <w:szCs w:val="24"/>
        </w:rPr>
        <w:tab/>
      </w:r>
      <w:r w:rsidR="00E66F8D" w:rsidRPr="00E66F8D">
        <w:rPr>
          <w:rFonts w:ascii="Times New Roman" w:hAnsi="Times New Roman" w:cs="Times New Roman"/>
          <w:sz w:val="24"/>
          <w:szCs w:val="24"/>
        </w:rPr>
        <w:t xml:space="preserve">O Brasil é um país rico em biodiversidade. Um de seus biomas mais complexos é a Mata Atlântica, que é característica da Zona da Mata Mineira. Com a legislação vigente do Novo Código Florestal e sua abrangência, torna-se evidente que são inúmeras as restrições e padrões que não são cumpridos nesta região, resultando em autuações e multas </w:t>
      </w:r>
      <w:r w:rsidR="00607141">
        <w:rPr>
          <w:rFonts w:ascii="Times New Roman" w:hAnsi="Times New Roman" w:cs="Times New Roman"/>
          <w:sz w:val="24"/>
          <w:szCs w:val="24"/>
        </w:rPr>
        <w:t xml:space="preserve">ambientais </w:t>
      </w:r>
      <w:r w:rsidR="00E66F8D" w:rsidRPr="00E66F8D">
        <w:rPr>
          <w:rFonts w:ascii="Times New Roman" w:hAnsi="Times New Roman" w:cs="Times New Roman"/>
          <w:sz w:val="24"/>
          <w:szCs w:val="24"/>
        </w:rPr>
        <w:t xml:space="preserve">aos que não se adéquam. Diante disso, </w:t>
      </w:r>
      <w:r w:rsidR="004824E4">
        <w:rPr>
          <w:rFonts w:ascii="Times New Roman" w:hAnsi="Times New Roman" w:cs="Times New Roman"/>
          <w:sz w:val="24"/>
          <w:szCs w:val="24"/>
        </w:rPr>
        <w:t xml:space="preserve">foi analisada </w:t>
      </w:r>
      <w:r w:rsidR="00E66F8D" w:rsidRPr="00E66F8D">
        <w:rPr>
          <w:rFonts w:ascii="Times New Roman" w:hAnsi="Times New Roman" w:cs="Times New Roman"/>
          <w:sz w:val="24"/>
          <w:szCs w:val="24"/>
        </w:rPr>
        <w:t xml:space="preserve">a tabela de autos lavrados no período de </w:t>
      </w:r>
      <w:r w:rsidR="004A5F7F">
        <w:rPr>
          <w:rFonts w:ascii="Times New Roman" w:hAnsi="Times New Roman" w:cs="Times New Roman"/>
          <w:sz w:val="24"/>
          <w:szCs w:val="24"/>
        </w:rPr>
        <w:t>0</w:t>
      </w:r>
      <w:r w:rsidR="00E66F8D" w:rsidRPr="00E66F8D">
        <w:rPr>
          <w:rFonts w:ascii="Times New Roman" w:hAnsi="Times New Roman" w:cs="Times New Roman"/>
          <w:sz w:val="24"/>
          <w:szCs w:val="24"/>
        </w:rPr>
        <w:t xml:space="preserve">1º de janeiro </w:t>
      </w:r>
      <w:r w:rsidR="004824E4">
        <w:rPr>
          <w:rFonts w:ascii="Times New Roman" w:hAnsi="Times New Roman" w:cs="Times New Roman"/>
          <w:sz w:val="24"/>
          <w:szCs w:val="24"/>
        </w:rPr>
        <w:t xml:space="preserve">de 2015 a </w:t>
      </w:r>
      <w:r w:rsidR="004A5F7F">
        <w:rPr>
          <w:rFonts w:ascii="Times New Roman" w:hAnsi="Times New Roman" w:cs="Times New Roman"/>
          <w:sz w:val="24"/>
          <w:szCs w:val="24"/>
        </w:rPr>
        <w:t>0</w:t>
      </w:r>
      <w:r w:rsidR="004824E4">
        <w:rPr>
          <w:rFonts w:ascii="Times New Roman" w:hAnsi="Times New Roman" w:cs="Times New Roman"/>
          <w:sz w:val="24"/>
          <w:szCs w:val="24"/>
        </w:rPr>
        <w:t>1º de outubro de 2016</w:t>
      </w:r>
      <w:r w:rsidR="00E66F8D" w:rsidRPr="00E66F8D">
        <w:rPr>
          <w:rFonts w:ascii="Times New Roman" w:hAnsi="Times New Roman" w:cs="Times New Roman"/>
          <w:sz w:val="24"/>
          <w:szCs w:val="24"/>
        </w:rPr>
        <w:t>. Foram observados</w:t>
      </w:r>
      <w:r w:rsidR="004824E4">
        <w:rPr>
          <w:rFonts w:ascii="Times New Roman" w:hAnsi="Times New Roman" w:cs="Times New Roman"/>
          <w:sz w:val="24"/>
          <w:szCs w:val="24"/>
        </w:rPr>
        <w:t>:</w:t>
      </w:r>
      <w:r w:rsidR="00E66F8D" w:rsidRPr="00E66F8D">
        <w:rPr>
          <w:rFonts w:ascii="Times New Roman" w:hAnsi="Times New Roman" w:cs="Times New Roman"/>
          <w:sz w:val="24"/>
          <w:szCs w:val="24"/>
        </w:rPr>
        <w:t xml:space="preserve"> os aspectos relacionados ao número de órgãos públicos, priv</w:t>
      </w:r>
      <w:r w:rsidR="004824E4">
        <w:rPr>
          <w:rFonts w:ascii="Times New Roman" w:hAnsi="Times New Roman" w:cs="Times New Roman"/>
          <w:sz w:val="24"/>
          <w:szCs w:val="24"/>
        </w:rPr>
        <w:t>ados e pessoas físicas autuadas; a</w:t>
      </w:r>
      <w:r w:rsidR="004A5F7F">
        <w:rPr>
          <w:rFonts w:ascii="Times New Roman" w:hAnsi="Times New Roman" w:cs="Times New Roman"/>
          <w:sz w:val="24"/>
          <w:szCs w:val="24"/>
        </w:rPr>
        <w:t>s principais</w:t>
      </w:r>
      <w:r w:rsidR="00E66F8D" w:rsidRPr="00E66F8D">
        <w:rPr>
          <w:rFonts w:ascii="Times New Roman" w:hAnsi="Times New Roman" w:cs="Times New Roman"/>
          <w:sz w:val="24"/>
          <w:szCs w:val="24"/>
        </w:rPr>
        <w:t xml:space="preserve"> </w:t>
      </w:r>
      <w:r w:rsidR="004A5F7F" w:rsidRPr="00E66F8D">
        <w:rPr>
          <w:rFonts w:ascii="Times New Roman" w:hAnsi="Times New Roman" w:cs="Times New Roman"/>
          <w:sz w:val="24"/>
          <w:szCs w:val="24"/>
        </w:rPr>
        <w:t>autuaçõe</w:t>
      </w:r>
      <w:r w:rsidR="004A5F7F">
        <w:rPr>
          <w:rFonts w:ascii="Times New Roman" w:hAnsi="Times New Roman" w:cs="Times New Roman"/>
          <w:sz w:val="24"/>
          <w:szCs w:val="24"/>
        </w:rPr>
        <w:t>s, das quais a</w:t>
      </w:r>
      <w:r w:rsidR="00E66F8D" w:rsidRPr="00E66F8D">
        <w:rPr>
          <w:rFonts w:ascii="Times New Roman" w:hAnsi="Times New Roman" w:cs="Times New Roman"/>
          <w:sz w:val="24"/>
          <w:szCs w:val="24"/>
        </w:rPr>
        <w:t xml:space="preserve"> </w:t>
      </w:r>
      <w:r w:rsidR="004824E4">
        <w:rPr>
          <w:rFonts w:ascii="Times New Roman" w:hAnsi="Times New Roman" w:cs="Times New Roman"/>
          <w:sz w:val="24"/>
          <w:szCs w:val="24"/>
        </w:rPr>
        <w:t>que se destacou foi a Lei Florestal; o valor total</w:t>
      </w:r>
      <w:r w:rsidR="00E66F8D" w:rsidRPr="00E66F8D">
        <w:rPr>
          <w:rFonts w:ascii="Times New Roman" w:hAnsi="Times New Roman" w:cs="Times New Roman"/>
          <w:sz w:val="24"/>
          <w:szCs w:val="24"/>
        </w:rPr>
        <w:t xml:space="preserve"> e a maior quantidade em dinheiro para multas</w:t>
      </w:r>
      <w:r w:rsidR="004A5F7F">
        <w:rPr>
          <w:rFonts w:ascii="Times New Roman" w:hAnsi="Times New Roman" w:cs="Times New Roman"/>
          <w:sz w:val="24"/>
          <w:szCs w:val="24"/>
        </w:rPr>
        <w:t xml:space="preserve">, que foram </w:t>
      </w:r>
      <w:r w:rsidR="00E66F8D" w:rsidRPr="00E66F8D">
        <w:rPr>
          <w:rFonts w:ascii="Times New Roman" w:hAnsi="Times New Roman" w:cs="Times New Roman"/>
          <w:sz w:val="24"/>
          <w:szCs w:val="24"/>
        </w:rPr>
        <w:t>relacionadas aos recursos da FEAM (Fundação Estadual do Meio Ambiente)</w:t>
      </w:r>
      <w:r w:rsidR="004824E4">
        <w:rPr>
          <w:rFonts w:ascii="Times New Roman" w:hAnsi="Times New Roman" w:cs="Times New Roman"/>
          <w:sz w:val="24"/>
          <w:szCs w:val="24"/>
        </w:rPr>
        <w:t>;</w:t>
      </w:r>
      <w:r w:rsidR="00E66F8D" w:rsidRPr="00E66F8D">
        <w:rPr>
          <w:rFonts w:ascii="Times New Roman" w:hAnsi="Times New Roman" w:cs="Times New Roman"/>
          <w:sz w:val="24"/>
          <w:szCs w:val="24"/>
        </w:rPr>
        <w:t xml:space="preserve"> a situação </w:t>
      </w:r>
      <w:r w:rsidR="004A5F7F">
        <w:rPr>
          <w:rFonts w:ascii="Times New Roman" w:hAnsi="Times New Roman" w:cs="Times New Roman"/>
          <w:sz w:val="24"/>
          <w:szCs w:val="24"/>
        </w:rPr>
        <w:t xml:space="preserve">em que mais se encontram </w:t>
      </w:r>
      <w:r w:rsidR="00E66F8D" w:rsidRPr="00E66F8D">
        <w:rPr>
          <w:rFonts w:ascii="Times New Roman" w:hAnsi="Times New Roman" w:cs="Times New Roman"/>
          <w:sz w:val="24"/>
          <w:szCs w:val="24"/>
        </w:rPr>
        <w:t>os imóveis d</w:t>
      </w:r>
      <w:r w:rsidR="004A5F7F">
        <w:rPr>
          <w:rFonts w:ascii="Times New Roman" w:hAnsi="Times New Roman" w:cs="Times New Roman"/>
          <w:sz w:val="24"/>
          <w:szCs w:val="24"/>
        </w:rPr>
        <w:t xml:space="preserve">a região, que são as multas simples </w:t>
      </w:r>
      <w:r w:rsidR="00E66F8D" w:rsidRPr="00E66F8D">
        <w:rPr>
          <w:rFonts w:ascii="Times New Roman" w:hAnsi="Times New Roman" w:cs="Times New Roman"/>
          <w:sz w:val="24"/>
          <w:szCs w:val="24"/>
        </w:rPr>
        <w:t>e uma análise das autuações nas estações meteorológicas por tipo de multas</w:t>
      </w:r>
      <w:r w:rsidR="004A5F7F">
        <w:rPr>
          <w:rFonts w:ascii="Times New Roman" w:hAnsi="Times New Roman" w:cs="Times New Roman"/>
          <w:sz w:val="24"/>
          <w:szCs w:val="24"/>
        </w:rPr>
        <w:t>,</w:t>
      </w:r>
      <w:r w:rsidR="00E66F8D" w:rsidRPr="00E66F8D">
        <w:rPr>
          <w:rFonts w:ascii="Times New Roman" w:hAnsi="Times New Roman" w:cs="Times New Roman"/>
          <w:sz w:val="24"/>
          <w:szCs w:val="24"/>
        </w:rPr>
        <w:t xml:space="preserve"> que relatou os picos de autuações de cada tipo de lei e suas interações entre épocas como secas e a pirace</w:t>
      </w:r>
      <w:r w:rsidR="004A5F7F">
        <w:rPr>
          <w:rFonts w:ascii="Times New Roman" w:hAnsi="Times New Roman" w:cs="Times New Roman"/>
          <w:sz w:val="24"/>
          <w:szCs w:val="24"/>
        </w:rPr>
        <w:t>ma, além de outras leis e</w:t>
      </w:r>
      <w:r w:rsidR="00E66F8D" w:rsidRPr="00E66F8D">
        <w:rPr>
          <w:rFonts w:ascii="Times New Roman" w:hAnsi="Times New Roman" w:cs="Times New Roman"/>
          <w:sz w:val="24"/>
          <w:szCs w:val="24"/>
        </w:rPr>
        <w:t xml:space="preserve"> aspectos ligados ao licenciamento ambiental. Essa análise se f</w:t>
      </w:r>
      <w:r w:rsidR="004A5F7F">
        <w:rPr>
          <w:rFonts w:ascii="Times New Roman" w:hAnsi="Times New Roman" w:cs="Times New Roman"/>
          <w:sz w:val="24"/>
          <w:szCs w:val="24"/>
        </w:rPr>
        <w:t>a</w:t>
      </w:r>
      <w:r w:rsidR="00E66F8D">
        <w:rPr>
          <w:rFonts w:ascii="Times New Roman" w:hAnsi="Times New Roman" w:cs="Times New Roman"/>
          <w:sz w:val="24"/>
          <w:szCs w:val="24"/>
        </w:rPr>
        <w:t xml:space="preserve">z importante para que se </w:t>
      </w:r>
      <w:r w:rsidR="00B93ABF">
        <w:rPr>
          <w:rFonts w:ascii="Times New Roman" w:hAnsi="Times New Roman" w:cs="Times New Roman"/>
          <w:sz w:val="24"/>
          <w:szCs w:val="24"/>
        </w:rPr>
        <w:t>possam</w:t>
      </w:r>
      <w:r w:rsidR="00E66F8D" w:rsidRPr="00E66F8D">
        <w:rPr>
          <w:rFonts w:ascii="Times New Roman" w:hAnsi="Times New Roman" w:cs="Times New Roman"/>
          <w:sz w:val="24"/>
          <w:szCs w:val="24"/>
        </w:rPr>
        <w:t xml:space="preserve"> definir modelos que estabeleçam políticas educativas visando informar a população quanto a essas restrições e padrões.</w:t>
      </w:r>
    </w:p>
    <w:p w:rsidR="005D30B9" w:rsidRPr="00897290" w:rsidRDefault="005345CA" w:rsidP="005D30B9">
      <w:pPr>
        <w:spacing w:line="360" w:lineRule="auto"/>
        <w:jc w:val="both"/>
        <w:rPr>
          <w:rFonts w:ascii="Times New Roman" w:hAnsi="Times New Roman" w:cs="Times New Roman"/>
          <w:color w:val="FF0000"/>
          <w:sz w:val="24"/>
          <w:szCs w:val="24"/>
        </w:rPr>
      </w:pPr>
      <w:r w:rsidRPr="00897290">
        <w:rPr>
          <w:rFonts w:ascii="Times New Roman" w:hAnsi="Times New Roman" w:cs="Times New Roman"/>
          <w:sz w:val="24"/>
          <w:szCs w:val="24"/>
        </w:rPr>
        <w:t>Palavras-chave:</w:t>
      </w:r>
      <w:r w:rsidR="00CF50C1" w:rsidRPr="00897290">
        <w:rPr>
          <w:rFonts w:ascii="Times New Roman" w:hAnsi="Times New Roman" w:cs="Times New Roman"/>
          <w:sz w:val="24"/>
          <w:szCs w:val="24"/>
        </w:rPr>
        <w:t xml:space="preserve"> Autuações Ambientais; Zona da Mata; Lei Florestal.</w:t>
      </w:r>
    </w:p>
    <w:p w:rsidR="00897290" w:rsidRPr="00897290" w:rsidRDefault="00897290" w:rsidP="00897290">
      <w:pPr>
        <w:tabs>
          <w:tab w:val="left" w:pos="3410"/>
        </w:tabs>
        <w:rPr>
          <w:rFonts w:ascii="Times New Roman" w:hAnsi="Times New Roman" w:cs="Times New Roman"/>
          <w:b/>
          <w:sz w:val="24"/>
          <w:szCs w:val="24"/>
        </w:rPr>
      </w:pPr>
      <w:r w:rsidRPr="00897290">
        <w:rPr>
          <w:rFonts w:ascii="Times New Roman" w:hAnsi="Times New Roman" w:cs="Times New Roman"/>
          <w:b/>
          <w:sz w:val="24"/>
          <w:szCs w:val="24"/>
        </w:rPr>
        <w:tab/>
      </w:r>
    </w:p>
    <w:p w:rsidR="009F005F" w:rsidRPr="005D30B9" w:rsidRDefault="00E377B9" w:rsidP="00897290">
      <w:pPr>
        <w:tabs>
          <w:tab w:val="left" w:pos="3410"/>
        </w:tabs>
        <w:rPr>
          <w:rFonts w:ascii="Times New Roman" w:hAnsi="Times New Roman" w:cs="Times New Roman"/>
          <w:b/>
          <w:sz w:val="24"/>
          <w:szCs w:val="24"/>
        </w:rPr>
      </w:pPr>
      <w:r w:rsidRPr="00897290">
        <w:rPr>
          <w:rFonts w:ascii="Times New Roman" w:hAnsi="Times New Roman" w:cs="Times New Roman"/>
          <w:sz w:val="24"/>
          <w:szCs w:val="24"/>
        </w:rPr>
        <w:br w:type="page"/>
      </w:r>
      <w:r w:rsidR="00897290">
        <w:rPr>
          <w:rFonts w:ascii="Times New Roman" w:hAnsi="Times New Roman" w:cs="Times New Roman"/>
          <w:b/>
          <w:sz w:val="24"/>
          <w:szCs w:val="24"/>
        </w:rPr>
        <w:lastRenderedPageBreak/>
        <w:tab/>
      </w:r>
    </w:p>
    <w:p w:rsidR="00037DFE" w:rsidRPr="00037DFE" w:rsidRDefault="009F005F" w:rsidP="00037DFE">
      <w:pPr>
        <w:spacing w:after="0" w:line="360" w:lineRule="auto"/>
        <w:jc w:val="center"/>
        <w:rPr>
          <w:rFonts w:ascii="Times New Roman" w:hAnsi="Times New Roman" w:cs="Times New Roman"/>
          <w:b/>
          <w:sz w:val="24"/>
          <w:szCs w:val="24"/>
          <w:lang w:val="en-US"/>
        </w:rPr>
      </w:pPr>
      <w:r w:rsidRPr="00037DFE">
        <w:rPr>
          <w:rFonts w:ascii="Times New Roman" w:hAnsi="Times New Roman" w:cs="Times New Roman"/>
          <w:b/>
          <w:sz w:val="24"/>
          <w:szCs w:val="24"/>
          <w:lang w:val="en-US"/>
        </w:rPr>
        <w:t>ABSTRACT</w:t>
      </w:r>
    </w:p>
    <w:p w:rsidR="00037DFE" w:rsidRDefault="00037DFE" w:rsidP="00037DFE">
      <w:pPr>
        <w:pStyle w:val="Pr-formataoHTML"/>
        <w:shd w:val="clear" w:color="auto" w:fill="FFFFFF"/>
        <w:jc w:val="both"/>
        <w:rPr>
          <w:rFonts w:ascii="Times New Roman" w:hAnsi="Times New Roman" w:cs="Times New Roman"/>
          <w:color w:val="222222"/>
          <w:sz w:val="24"/>
          <w:szCs w:val="24"/>
        </w:rPr>
      </w:pPr>
    </w:p>
    <w:p w:rsidR="00037DFE" w:rsidRDefault="00037DFE" w:rsidP="000665F7">
      <w:pPr>
        <w:pStyle w:val="Pr-formataoHTML"/>
        <w:shd w:val="clear" w:color="auto" w:fill="FFFFFF"/>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E57C0C">
        <w:rPr>
          <w:rFonts w:ascii="Times New Roman" w:hAnsi="Times New Roman" w:cs="Times New Roman"/>
          <w:color w:val="222222"/>
          <w:sz w:val="24"/>
          <w:szCs w:val="24"/>
        </w:rPr>
        <w:t>Brazil is a rich country in biodiversity</w:t>
      </w:r>
      <w:r>
        <w:rPr>
          <w:rFonts w:ascii="Times New Roman" w:hAnsi="Times New Roman" w:cs="Times New Roman"/>
          <w:color w:val="222222"/>
          <w:sz w:val="24"/>
          <w:szCs w:val="24"/>
        </w:rPr>
        <w:t xml:space="preserve">. One of its most complex biome is the Atlantic forest, which is featured in the </w:t>
      </w:r>
      <w:proofErr w:type="spellStart"/>
      <w:r>
        <w:rPr>
          <w:rFonts w:ascii="Times New Roman" w:hAnsi="Times New Roman" w:cs="Times New Roman"/>
          <w:color w:val="222222"/>
          <w:sz w:val="24"/>
          <w:szCs w:val="24"/>
        </w:rPr>
        <w:t>Zona</w:t>
      </w:r>
      <w:proofErr w:type="spellEnd"/>
      <w:r>
        <w:rPr>
          <w:rFonts w:ascii="Times New Roman" w:hAnsi="Times New Roman" w:cs="Times New Roman"/>
          <w:color w:val="222222"/>
          <w:sz w:val="24"/>
          <w:szCs w:val="24"/>
        </w:rPr>
        <w:t xml:space="preserve"> da Mata Region of Minas </w:t>
      </w:r>
      <w:proofErr w:type="spellStart"/>
      <w:r>
        <w:rPr>
          <w:rFonts w:ascii="Times New Roman" w:hAnsi="Times New Roman" w:cs="Times New Roman"/>
          <w:color w:val="222222"/>
          <w:sz w:val="24"/>
          <w:szCs w:val="24"/>
        </w:rPr>
        <w:t>Gerais</w:t>
      </w:r>
      <w:proofErr w:type="spellEnd"/>
      <w:r>
        <w:rPr>
          <w:rFonts w:ascii="Times New Roman" w:hAnsi="Times New Roman" w:cs="Times New Roman"/>
          <w:color w:val="222222"/>
          <w:sz w:val="24"/>
          <w:szCs w:val="24"/>
        </w:rPr>
        <w:t xml:space="preserve">. With the present legislation from the New Forest Code and its </w:t>
      </w:r>
      <w:r w:rsidRPr="00E77FF2">
        <w:rPr>
          <w:rFonts w:ascii="Times New Roman" w:hAnsi="Times New Roman" w:cs="Times New Roman"/>
          <w:color w:val="222222"/>
          <w:sz w:val="24"/>
          <w:szCs w:val="24"/>
        </w:rPr>
        <w:t>comprehensiveness</w:t>
      </w:r>
      <w:r>
        <w:rPr>
          <w:rFonts w:ascii="Times New Roman" w:hAnsi="Times New Roman" w:cs="Times New Roman"/>
          <w:color w:val="222222"/>
          <w:sz w:val="24"/>
          <w:szCs w:val="24"/>
        </w:rPr>
        <w:t xml:space="preserve"> it has become evident that are countless the restrictions and patterns that are not fulfilled in this region, resulting in notices and </w:t>
      </w:r>
      <w:r w:rsidRPr="004C1302">
        <w:rPr>
          <w:rFonts w:ascii="Times New Roman" w:hAnsi="Times New Roman" w:cs="Times New Roman"/>
          <w:color w:val="222222"/>
          <w:sz w:val="24"/>
          <w:szCs w:val="24"/>
        </w:rPr>
        <w:t>environmental</w:t>
      </w:r>
      <w:r>
        <w:rPr>
          <w:rFonts w:ascii="Times New Roman" w:hAnsi="Times New Roman" w:cs="Times New Roman"/>
          <w:color w:val="222222"/>
          <w:sz w:val="24"/>
          <w:szCs w:val="24"/>
        </w:rPr>
        <w:t xml:space="preserve"> fines to the ones that do not adapt themselves. Thus, the chart with notices and environmental fines was analyzed in the period from </w:t>
      </w:r>
      <w:proofErr w:type="spellStart"/>
      <w:r>
        <w:rPr>
          <w:rFonts w:ascii="Times New Roman" w:hAnsi="Times New Roman" w:cs="Times New Roman"/>
          <w:color w:val="222222"/>
          <w:sz w:val="24"/>
          <w:szCs w:val="24"/>
        </w:rPr>
        <w:t>Janury</w:t>
      </w:r>
      <w:proofErr w:type="spellEnd"/>
      <w:r>
        <w:rPr>
          <w:rFonts w:ascii="Times New Roman" w:hAnsi="Times New Roman" w:cs="Times New Roman"/>
          <w:color w:val="222222"/>
          <w:sz w:val="24"/>
          <w:szCs w:val="24"/>
        </w:rPr>
        <w:t xml:space="preserve"> 1</w:t>
      </w:r>
      <w:r w:rsidRPr="004C1302">
        <w:rPr>
          <w:rFonts w:ascii="Times New Roman" w:hAnsi="Times New Roman" w:cs="Times New Roman"/>
          <w:color w:val="222222"/>
          <w:sz w:val="24"/>
          <w:szCs w:val="24"/>
          <w:vertAlign w:val="superscript"/>
        </w:rPr>
        <w:t>st</w:t>
      </w:r>
      <w:r>
        <w:rPr>
          <w:rFonts w:ascii="Times New Roman" w:hAnsi="Times New Roman" w:cs="Times New Roman"/>
          <w:color w:val="222222"/>
          <w:sz w:val="24"/>
          <w:szCs w:val="24"/>
        </w:rPr>
        <w:t xml:space="preserve"> 2015 to October 1</w:t>
      </w:r>
      <w:r w:rsidRPr="004C1302">
        <w:rPr>
          <w:rFonts w:ascii="Times New Roman" w:hAnsi="Times New Roman" w:cs="Times New Roman"/>
          <w:color w:val="222222"/>
          <w:sz w:val="24"/>
          <w:szCs w:val="24"/>
          <w:vertAlign w:val="superscript"/>
        </w:rPr>
        <w:t>st</w:t>
      </w:r>
      <w:r>
        <w:rPr>
          <w:rFonts w:ascii="Times New Roman" w:hAnsi="Times New Roman" w:cs="Times New Roman"/>
          <w:color w:val="222222"/>
          <w:sz w:val="24"/>
          <w:szCs w:val="24"/>
        </w:rPr>
        <w:t xml:space="preserve"> 2016. It was observed: the related aspects to the number of public and private agencies and noticed natural persons; the main notices, of which the one that was highlighted was the Forest Law; the total amount and the biggest amount of money for fines, that were related to the FEAM (</w:t>
      </w:r>
      <w:proofErr w:type="spellStart"/>
      <w:r>
        <w:rPr>
          <w:rFonts w:ascii="Times New Roman" w:hAnsi="Times New Roman" w:cs="Times New Roman"/>
          <w:color w:val="222222"/>
          <w:sz w:val="24"/>
          <w:szCs w:val="24"/>
        </w:rPr>
        <w:t>Fundação</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Estadual</w:t>
      </w:r>
      <w:proofErr w:type="spellEnd"/>
      <w:r>
        <w:rPr>
          <w:rFonts w:ascii="Times New Roman" w:hAnsi="Times New Roman" w:cs="Times New Roman"/>
          <w:color w:val="222222"/>
          <w:sz w:val="24"/>
          <w:szCs w:val="24"/>
        </w:rPr>
        <w:t xml:space="preserve"> do </w:t>
      </w:r>
      <w:proofErr w:type="spellStart"/>
      <w:r>
        <w:rPr>
          <w:rFonts w:ascii="Times New Roman" w:hAnsi="Times New Roman" w:cs="Times New Roman"/>
          <w:color w:val="222222"/>
          <w:sz w:val="24"/>
          <w:szCs w:val="24"/>
        </w:rPr>
        <w:t>Meio</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Ambiente</w:t>
      </w:r>
      <w:proofErr w:type="spellEnd"/>
      <w:r>
        <w:rPr>
          <w:rFonts w:ascii="Times New Roman" w:hAnsi="Times New Roman" w:cs="Times New Roman"/>
          <w:color w:val="222222"/>
          <w:sz w:val="24"/>
          <w:szCs w:val="24"/>
        </w:rPr>
        <w:t xml:space="preserve">) resources; the mostly found situation in the properties of the region, that are the simple fines and an analysis of the notices in the weather stations by type of fines, which reported the peaks of notices of each type of law and its interactions between times like the drought and the </w:t>
      </w:r>
      <w:proofErr w:type="spellStart"/>
      <w:r>
        <w:rPr>
          <w:rFonts w:ascii="Times New Roman" w:hAnsi="Times New Roman" w:cs="Times New Roman"/>
          <w:color w:val="222222"/>
          <w:sz w:val="24"/>
          <w:szCs w:val="24"/>
        </w:rPr>
        <w:t>piracema</w:t>
      </w:r>
      <w:proofErr w:type="spellEnd"/>
      <w:r>
        <w:rPr>
          <w:rFonts w:ascii="Times New Roman" w:hAnsi="Times New Roman" w:cs="Times New Roman"/>
          <w:color w:val="222222"/>
          <w:sz w:val="24"/>
          <w:szCs w:val="24"/>
        </w:rPr>
        <w:t>, besides other laws and aspects connected to the environmental  licensing. This analysis is important so it can be defined models that set educational policies aiming to inform the population as to these restrictions and patterns.</w:t>
      </w:r>
    </w:p>
    <w:p w:rsidR="00037DFE" w:rsidRDefault="00037DFE" w:rsidP="000665F7">
      <w:pPr>
        <w:pStyle w:val="Pr-formataoHTML"/>
        <w:shd w:val="clear" w:color="auto" w:fill="FFFFFF"/>
        <w:spacing w:line="360" w:lineRule="auto"/>
        <w:jc w:val="both"/>
        <w:rPr>
          <w:rFonts w:ascii="Times New Roman" w:hAnsi="Times New Roman" w:cs="Times New Roman"/>
          <w:color w:val="222222"/>
          <w:sz w:val="24"/>
          <w:szCs w:val="24"/>
          <w:lang w:val="pt-BR"/>
        </w:rPr>
      </w:pPr>
      <w:r w:rsidRPr="001F5DC4">
        <w:rPr>
          <w:rFonts w:ascii="Times New Roman" w:hAnsi="Times New Roman" w:cs="Times New Roman"/>
          <w:color w:val="222222"/>
          <w:sz w:val="24"/>
          <w:szCs w:val="24"/>
          <w:lang w:val="pt-BR"/>
        </w:rPr>
        <w:t xml:space="preserve">Key </w:t>
      </w:r>
      <w:proofErr w:type="spellStart"/>
      <w:r w:rsidRPr="001F5DC4">
        <w:rPr>
          <w:rFonts w:ascii="Times New Roman" w:hAnsi="Times New Roman" w:cs="Times New Roman"/>
          <w:color w:val="222222"/>
          <w:sz w:val="24"/>
          <w:szCs w:val="24"/>
          <w:lang w:val="pt-BR"/>
        </w:rPr>
        <w:t>Words</w:t>
      </w:r>
      <w:proofErr w:type="spellEnd"/>
      <w:r w:rsidRPr="001F5DC4">
        <w:rPr>
          <w:rFonts w:ascii="Times New Roman" w:hAnsi="Times New Roman" w:cs="Times New Roman"/>
          <w:color w:val="222222"/>
          <w:sz w:val="24"/>
          <w:szCs w:val="24"/>
          <w:lang w:val="pt-BR"/>
        </w:rPr>
        <w:t>: Envi</w:t>
      </w:r>
      <w:r>
        <w:rPr>
          <w:rFonts w:ascii="Times New Roman" w:hAnsi="Times New Roman" w:cs="Times New Roman"/>
          <w:color w:val="222222"/>
          <w:sz w:val="24"/>
          <w:szCs w:val="24"/>
          <w:lang w:val="pt-BR"/>
        </w:rPr>
        <w:t xml:space="preserve">ronmental </w:t>
      </w:r>
      <w:proofErr w:type="spellStart"/>
      <w:r>
        <w:rPr>
          <w:rFonts w:ascii="Times New Roman" w:hAnsi="Times New Roman" w:cs="Times New Roman"/>
          <w:color w:val="222222"/>
          <w:sz w:val="24"/>
          <w:szCs w:val="24"/>
          <w:lang w:val="pt-BR"/>
        </w:rPr>
        <w:t>Notices</w:t>
      </w:r>
      <w:proofErr w:type="spellEnd"/>
      <w:r>
        <w:rPr>
          <w:rFonts w:ascii="Times New Roman" w:hAnsi="Times New Roman" w:cs="Times New Roman"/>
          <w:color w:val="222222"/>
          <w:sz w:val="24"/>
          <w:szCs w:val="24"/>
          <w:lang w:val="pt-BR"/>
        </w:rPr>
        <w:t xml:space="preserve">; Zona da Mata; Forest </w:t>
      </w:r>
      <w:proofErr w:type="gramStart"/>
      <w:r>
        <w:rPr>
          <w:rFonts w:ascii="Times New Roman" w:hAnsi="Times New Roman" w:cs="Times New Roman"/>
          <w:color w:val="222222"/>
          <w:sz w:val="24"/>
          <w:szCs w:val="24"/>
          <w:lang w:val="pt-BR"/>
        </w:rPr>
        <w:t>Law</w:t>
      </w:r>
      <w:proofErr w:type="gramEnd"/>
    </w:p>
    <w:p w:rsidR="00D45A73" w:rsidRPr="009C5A9C" w:rsidRDefault="00D45A73" w:rsidP="00D45A73">
      <w:pPr>
        <w:spacing w:after="0" w:line="360" w:lineRule="auto"/>
        <w:ind w:firstLine="709"/>
        <w:jc w:val="both"/>
        <w:rPr>
          <w:rFonts w:ascii="Times New Roman" w:hAnsi="Times New Roman" w:cs="Times New Roman"/>
          <w:sz w:val="24"/>
          <w:szCs w:val="24"/>
        </w:rPr>
      </w:pPr>
    </w:p>
    <w:p w:rsidR="009F005F" w:rsidRPr="005D30B9" w:rsidRDefault="009F005F" w:rsidP="009F005F">
      <w:pPr>
        <w:pStyle w:val="Default"/>
        <w:spacing w:line="360" w:lineRule="auto"/>
        <w:jc w:val="center"/>
        <w:rPr>
          <w:rFonts w:ascii="Times New Roman" w:hAnsi="Times New Roman" w:cs="Times New Roman"/>
          <w:b/>
        </w:rPr>
      </w:pPr>
      <w:r w:rsidRPr="005D30B9">
        <w:rPr>
          <w:rFonts w:ascii="Times New Roman" w:hAnsi="Times New Roman" w:cs="Times New Roman"/>
        </w:rPr>
        <w:br w:type="page"/>
      </w:r>
      <w:r w:rsidRPr="005D30B9">
        <w:rPr>
          <w:rFonts w:ascii="Times New Roman" w:hAnsi="Times New Roman" w:cs="Times New Roman"/>
          <w:b/>
        </w:rPr>
        <w:lastRenderedPageBreak/>
        <w:t>SUMÁRIO</w:t>
      </w:r>
    </w:p>
    <w:p w:rsidR="00997075" w:rsidRPr="005D30B9" w:rsidRDefault="00997075" w:rsidP="009F005F">
      <w:pPr>
        <w:pStyle w:val="Default"/>
        <w:spacing w:line="360" w:lineRule="auto"/>
        <w:jc w:val="center"/>
        <w:rPr>
          <w:rFonts w:ascii="Times New Roman" w:hAnsi="Times New Roman" w:cs="Times New Roman"/>
          <w:b/>
        </w:rPr>
      </w:pPr>
    </w:p>
    <w:p w:rsidR="00A8281F" w:rsidRPr="005D30B9" w:rsidRDefault="008F0953" w:rsidP="00A8281F">
      <w:pPr>
        <w:tabs>
          <w:tab w:val="right" w:pos="9071"/>
        </w:tabs>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xml:space="preserve"> INTRODUÇÃO</w:t>
      </w:r>
      <w:r>
        <w:rPr>
          <w:rFonts w:ascii="Times New Roman" w:hAnsi="Times New Roman" w:cs="Times New Roman"/>
          <w:color w:val="000000"/>
          <w:sz w:val="24"/>
          <w:szCs w:val="24"/>
        </w:rPr>
        <w:tab/>
        <w:t>08</w:t>
      </w:r>
    </w:p>
    <w:p w:rsidR="00A8281F" w:rsidRDefault="008A0C75" w:rsidP="00A8281F">
      <w:pPr>
        <w:tabs>
          <w:tab w:val="right" w:pos="9071"/>
        </w:tabs>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proofErr w:type="gramEnd"/>
      <w:r w:rsidR="000C691B">
        <w:rPr>
          <w:rFonts w:ascii="Times New Roman" w:hAnsi="Times New Roman" w:cs="Times New Roman"/>
          <w:color w:val="000000"/>
          <w:sz w:val="24"/>
          <w:szCs w:val="24"/>
        </w:rPr>
        <w:t xml:space="preserve"> </w:t>
      </w:r>
      <w:r w:rsidR="000C691B" w:rsidRPr="005D30B9">
        <w:rPr>
          <w:rFonts w:ascii="Times New Roman" w:hAnsi="Times New Roman" w:cs="Times New Roman"/>
          <w:color w:val="000000"/>
          <w:sz w:val="24"/>
          <w:szCs w:val="24"/>
        </w:rPr>
        <w:t>ANÁLISE DOS DADOS</w:t>
      </w:r>
      <w:r w:rsidR="008F0953">
        <w:rPr>
          <w:rFonts w:ascii="Times New Roman" w:hAnsi="Times New Roman" w:cs="Times New Roman"/>
          <w:color w:val="000000"/>
          <w:sz w:val="24"/>
          <w:szCs w:val="24"/>
        </w:rPr>
        <w:tab/>
        <w:t>10</w:t>
      </w:r>
    </w:p>
    <w:p w:rsidR="008A0C75" w:rsidRPr="008A0C75" w:rsidRDefault="008A0C75" w:rsidP="008A0C75">
      <w:pPr>
        <w:spacing w:line="360" w:lineRule="auto"/>
        <w:ind w:left="360"/>
        <w:jc w:val="both"/>
        <w:rPr>
          <w:rFonts w:ascii="Times New Roman" w:hAnsi="Times New Roman" w:cs="Times New Roman"/>
          <w:sz w:val="24"/>
          <w:szCs w:val="24"/>
        </w:rPr>
      </w:pPr>
      <w:r w:rsidRPr="008A0C75">
        <w:rPr>
          <w:rFonts w:ascii="Times New Roman" w:hAnsi="Times New Roman" w:cs="Times New Roman"/>
          <w:color w:val="000000"/>
          <w:sz w:val="24"/>
          <w:szCs w:val="24"/>
        </w:rPr>
        <w:t>2.1</w:t>
      </w:r>
      <w:r w:rsidRPr="008A0C75">
        <w:rPr>
          <w:rFonts w:ascii="Times New Roman" w:hAnsi="Times New Roman" w:cs="Times New Roman"/>
          <w:sz w:val="24"/>
          <w:szCs w:val="24"/>
        </w:rPr>
        <w:t xml:space="preserve"> </w:t>
      </w:r>
      <w:r>
        <w:rPr>
          <w:rFonts w:ascii="Times New Roman" w:hAnsi="Times New Roman" w:cs="Times New Roman"/>
          <w:sz w:val="24"/>
          <w:szCs w:val="24"/>
        </w:rPr>
        <w:t>Características do a</w:t>
      </w:r>
      <w:r w:rsidRPr="008A0C75">
        <w:rPr>
          <w:rFonts w:ascii="Times New Roman" w:hAnsi="Times New Roman" w:cs="Times New Roman"/>
          <w:sz w:val="24"/>
          <w:szCs w:val="24"/>
        </w:rPr>
        <w:t>utuado</w:t>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t xml:space="preserve">     10</w:t>
      </w:r>
    </w:p>
    <w:p w:rsidR="008A0C75" w:rsidRPr="008A0C75" w:rsidRDefault="008A0C75" w:rsidP="008A0C75">
      <w:pPr>
        <w:spacing w:line="360" w:lineRule="auto"/>
        <w:ind w:left="360"/>
        <w:jc w:val="both"/>
        <w:rPr>
          <w:rFonts w:ascii="Times New Roman" w:hAnsi="Times New Roman" w:cs="Times New Roman"/>
          <w:sz w:val="24"/>
          <w:szCs w:val="24"/>
        </w:rPr>
      </w:pPr>
      <w:r w:rsidRPr="008A0C75">
        <w:rPr>
          <w:rFonts w:ascii="Times New Roman" w:hAnsi="Times New Roman" w:cs="Times New Roman"/>
          <w:color w:val="000000"/>
          <w:sz w:val="24"/>
          <w:szCs w:val="24"/>
        </w:rPr>
        <w:t>2.2</w:t>
      </w:r>
      <w:r w:rsidRPr="008A0C75">
        <w:rPr>
          <w:rFonts w:ascii="Times New Roman" w:hAnsi="Times New Roman" w:cs="Times New Roman"/>
          <w:sz w:val="24"/>
          <w:szCs w:val="24"/>
        </w:rPr>
        <w:t xml:space="preserve"> Quanto aos tipos de</w:t>
      </w:r>
      <w:r>
        <w:rPr>
          <w:rFonts w:ascii="Times New Roman" w:hAnsi="Times New Roman" w:cs="Times New Roman"/>
          <w:sz w:val="24"/>
          <w:szCs w:val="24"/>
        </w:rPr>
        <w:t xml:space="preserve"> m</w:t>
      </w:r>
      <w:r w:rsidRPr="008A0C75">
        <w:rPr>
          <w:rFonts w:ascii="Times New Roman" w:hAnsi="Times New Roman" w:cs="Times New Roman"/>
          <w:sz w:val="24"/>
          <w:szCs w:val="24"/>
        </w:rPr>
        <w:t>ultas</w:t>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t xml:space="preserve">     11</w:t>
      </w:r>
    </w:p>
    <w:p w:rsidR="008A0C75" w:rsidRPr="008A0C75" w:rsidRDefault="008A0C75" w:rsidP="008A0C75">
      <w:pPr>
        <w:spacing w:line="360" w:lineRule="auto"/>
        <w:ind w:left="360"/>
        <w:jc w:val="both"/>
        <w:rPr>
          <w:rFonts w:ascii="Times New Roman" w:hAnsi="Times New Roman" w:cs="Times New Roman"/>
          <w:sz w:val="24"/>
          <w:szCs w:val="24"/>
        </w:rPr>
      </w:pPr>
      <w:r w:rsidRPr="008A0C75">
        <w:rPr>
          <w:rFonts w:ascii="Times New Roman" w:hAnsi="Times New Roman" w:cs="Times New Roman"/>
          <w:color w:val="000000"/>
          <w:sz w:val="24"/>
          <w:szCs w:val="24"/>
        </w:rPr>
        <w:t>2.3</w:t>
      </w:r>
      <w:r w:rsidRPr="008A0C75">
        <w:rPr>
          <w:rFonts w:ascii="Times New Roman" w:hAnsi="Times New Roman" w:cs="Times New Roman"/>
          <w:sz w:val="24"/>
          <w:szCs w:val="24"/>
        </w:rPr>
        <w:t xml:space="preserve"> Quanto aos valores das multas</w:t>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t xml:space="preserve">     12</w:t>
      </w:r>
    </w:p>
    <w:p w:rsidR="008A0C75" w:rsidRPr="008A0C75" w:rsidRDefault="008A0C75" w:rsidP="008A0C75">
      <w:pPr>
        <w:spacing w:line="360" w:lineRule="auto"/>
        <w:ind w:left="360"/>
        <w:jc w:val="both"/>
        <w:rPr>
          <w:rFonts w:ascii="Times New Roman" w:hAnsi="Times New Roman" w:cs="Times New Roman"/>
          <w:sz w:val="24"/>
          <w:szCs w:val="24"/>
        </w:rPr>
      </w:pPr>
      <w:proofErr w:type="gramStart"/>
      <w:r w:rsidRPr="008A0C75">
        <w:rPr>
          <w:rFonts w:ascii="Times New Roman" w:hAnsi="Times New Roman" w:cs="Times New Roman"/>
          <w:color w:val="000000"/>
          <w:sz w:val="24"/>
          <w:szCs w:val="24"/>
        </w:rPr>
        <w:t>2.4</w:t>
      </w:r>
      <w:r w:rsidRPr="008A0C75">
        <w:rPr>
          <w:rFonts w:ascii="Times New Roman" w:hAnsi="Times New Roman" w:cs="Times New Roman"/>
          <w:sz w:val="24"/>
          <w:szCs w:val="24"/>
        </w:rPr>
        <w:t xml:space="preserve"> Quanto</w:t>
      </w:r>
      <w:proofErr w:type="gramEnd"/>
      <w:r w:rsidRPr="008A0C75">
        <w:rPr>
          <w:rFonts w:ascii="Times New Roman" w:hAnsi="Times New Roman" w:cs="Times New Roman"/>
          <w:sz w:val="24"/>
          <w:szCs w:val="24"/>
        </w:rPr>
        <w:t xml:space="preserve"> á situação dos imóveis autuados</w:t>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r>
      <w:r w:rsidR="008F0953">
        <w:rPr>
          <w:rFonts w:ascii="Times New Roman" w:hAnsi="Times New Roman" w:cs="Times New Roman"/>
          <w:sz w:val="24"/>
          <w:szCs w:val="24"/>
        </w:rPr>
        <w:tab/>
        <w:t xml:space="preserve">     14</w:t>
      </w:r>
    </w:p>
    <w:p w:rsidR="008A0C75" w:rsidRPr="008A0C75" w:rsidRDefault="008A0C75" w:rsidP="008A0C75">
      <w:pPr>
        <w:spacing w:line="360" w:lineRule="auto"/>
        <w:ind w:left="360"/>
        <w:jc w:val="both"/>
        <w:rPr>
          <w:rFonts w:ascii="Arial" w:hAnsi="Arial" w:cs="Arial"/>
          <w:sz w:val="24"/>
          <w:szCs w:val="24"/>
        </w:rPr>
      </w:pPr>
      <w:proofErr w:type="gramStart"/>
      <w:r w:rsidRPr="008A0C75">
        <w:rPr>
          <w:rFonts w:ascii="Times New Roman" w:hAnsi="Times New Roman" w:cs="Times New Roman"/>
          <w:color w:val="000000"/>
          <w:sz w:val="24"/>
          <w:szCs w:val="24"/>
        </w:rPr>
        <w:t>2.5</w:t>
      </w:r>
      <w:r w:rsidRPr="008A0C75">
        <w:rPr>
          <w:rFonts w:ascii="Times New Roman" w:hAnsi="Times New Roman" w:cs="Times New Roman"/>
          <w:sz w:val="24"/>
          <w:szCs w:val="24"/>
        </w:rPr>
        <w:t xml:space="preserve"> Quanto</w:t>
      </w:r>
      <w:proofErr w:type="gramEnd"/>
      <w:r w:rsidRPr="008A0C75">
        <w:rPr>
          <w:rFonts w:ascii="Times New Roman" w:hAnsi="Times New Roman" w:cs="Times New Roman"/>
          <w:sz w:val="24"/>
          <w:szCs w:val="24"/>
        </w:rPr>
        <w:t xml:space="preserve"> ás autuações ambientais e as estações meteorológicas do ano</w:t>
      </w:r>
      <w:r w:rsidRPr="008A0C75">
        <w:rPr>
          <w:rFonts w:ascii="Times New Roman" w:hAnsi="Times New Roman" w:cs="Times New Roman"/>
          <w:sz w:val="24"/>
          <w:szCs w:val="24"/>
        </w:rPr>
        <w:tab/>
      </w:r>
      <w:r w:rsidRPr="008A0C75">
        <w:rPr>
          <w:rFonts w:ascii="Times New Roman" w:hAnsi="Times New Roman" w:cs="Times New Roman"/>
          <w:sz w:val="24"/>
          <w:szCs w:val="24"/>
        </w:rPr>
        <w:tab/>
      </w:r>
      <w:r>
        <w:rPr>
          <w:rFonts w:ascii="Times New Roman" w:hAnsi="Times New Roman" w:cs="Times New Roman"/>
          <w:sz w:val="24"/>
          <w:szCs w:val="24"/>
        </w:rPr>
        <w:t xml:space="preserve"> </w:t>
      </w:r>
      <w:r w:rsidR="008F0953">
        <w:rPr>
          <w:rFonts w:ascii="Times New Roman" w:hAnsi="Times New Roman" w:cs="Times New Roman"/>
          <w:sz w:val="24"/>
          <w:szCs w:val="24"/>
        </w:rPr>
        <w:t xml:space="preserve">    15</w:t>
      </w:r>
    </w:p>
    <w:p w:rsidR="00A8281F" w:rsidRPr="005D30B9" w:rsidRDefault="000C691B" w:rsidP="00A8281F">
      <w:pPr>
        <w:tabs>
          <w:tab w:val="right" w:pos="9071"/>
        </w:tabs>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proofErr w:type="gramEnd"/>
      <w:r w:rsidR="008F0953">
        <w:rPr>
          <w:rFonts w:ascii="Times New Roman" w:hAnsi="Times New Roman" w:cs="Times New Roman"/>
          <w:color w:val="000000"/>
          <w:sz w:val="24"/>
          <w:szCs w:val="24"/>
        </w:rPr>
        <w:t xml:space="preserve"> CONSIDERAÇÕES </w:t>
      </w:r>
      <w:r w:rsidR="00915A6F">
        <w:rPr>
          <w:rFonts w:ascii="Times New Roman" w:hAnsi="Times New Roman" w:cs="Times New Roman"/>
          <w:color w:val="000000"/>
          <w:sz w:val="24"/>
          <w:szCs w:val="24"/>
        </w:rPr>
        <w:t>FINAIS</w:t>
      </w:r>
      <w:r w:rsidR="00915A6F">
        <w:rPr>
          <w:rFonts w:ascii="Times New Roman" w:hAnsi="Times New Roman" w:cs="Times New Roman"/>
          <w:color w:val="000000"/>
          <w:sz w:val="24"/>
          <w:szCs w:val="24"/>
        </w:rPr>
        <w:tab/>
        <w:t>19</w:t>
      </w:r>
    </w:p>
    <w:p w:rsidR="00D62A88" w:rsidRPr="005D30B9" w:rsidRDefault="000C691B" w:rsidP="00A8281F">
      <w:pPr>
        <w:tabs>
          <w:tab w:val="right" w:pos="9071"/>
        </w:tabs>
        <w:spacing w:after="0" w:line="360" w:lineRule="auto"/>
        <w:rPr>
          <w:rFonts w:ascii="Times New Roman" w:hAnsi="Times New Roman" w:cs="Times New Roman"/>
          <w:sz w:val="24"/>
          <w:szCs w:val="24"/>
        </w:rPr>
      </w:pPr>
      <w:proofErr w:type="gramStart"/>
      <w:r>
        <w:rPr>
          <w:rFonts w:ascii="Times New Roman" w:hAnsi="Times New Roman" w:cs="Times New Roman"/>
          <w:color w:val="000000"/>
          <w:sz w:val="24"/>
          <w:szCs w:val="24"/>
        </w:rPr>
        <w:t>4</w:t>
      </w:r>
      <w:proofErr w:type="gramEnd"/>
      <w:r w:rsidR="008F0953">
        <w:rPr>
          <w:rFonts w:ascii="Times New Roman" w:hAnsi="Times New Roman" w:cs="Times New Roman"/>
          <w:color w:val="000000"/>
          <w:sz w:val="24"/>
          <w:szCs w:val="24"/>
        </w:rPr>
        <w:t xml:space="preserve"> REFERÊNCIAS</w:t>
      </w:r>
      <w:r w:rsidR="008F0953">
        <w:rPr>
          <w:rFonts w:ascii="Times New Roman" w:hAnsi="Times New Roman" w:cs="Times New Roman"/>
          <w:color w:val="000000"/>
          <w:sz w:val="24"/>
          <w:szCs w:val="24"/>
        </w:rPr>
        <w:tab/>
        <w:t>21</w:t>
      </w:r>
    </w:p>
    <w:p w:rsidR="007C7053" w:rsidRPr="005D30B9" w:rsidRDefault="007C7053">
      <w:pPr>
        <w:rPr>
          <w:rFonts w:ascii="Times New Roman" w:hAnsi="Times New Roman" w:cs="Times New Roman"/>
          <w:sz w:val="24"/>
          <w:szCs w:val="24"/>
        </w:rPr>
      </w:pPr>
    </w:p>
    <w:p w:rsidR="00A8281F" w:rsidRPr="005D30B9" w:rsidRDefault="00A8281F">
      <w:pPr>
        <w:rPr>
          <w:rFonts w:ascii="Times New Roman" w:hAnsi="Times New Roman" w:cs="Times New Roman"/>
          <w:sz w:val="24"/>
          <w:szCs w:val="24"/>
        </w:rPr>
        <w:sectPr w:rsidR="00A8281F" w:rsidRPr="005D30B9" w:rsidSect="001165FF">
          <w:footerReference w:type="default" r:id="rId9"/>
          <w:pgSz w:w="11906" w:h="16838" w:code="9"/>
          <w:pgMar w:top="1701" w:right="1134" w:bottom="1134" w:left="1701" w:header="709" w:footer="709" w:gutter="0"/>
          <w:cols w:space="708"/>
          <w:docGrid w:linePitch="360"/>
        </w:sectPr>
      </w:pPr>
    </w:p>
    <w:p w:rsidR="00FF4B2C" w:rsidRPr="00B92B9C" w:rsidRDefault="00997075" w:rsidP="00997075">
      <w:pPr>
        <w:tabs>
          <w:tab w:val="right" w:pos="9071"/>
        </w:tabs>
        <w:spacing w:after="0" w:line="360" w:lineRule="auto"/>
        <w:rPr>
          <w:rFonts w:ascii="Times New Roman" w:hAnsi="Times New Roman" w:cs="Times New Roman"/>
          <w:b/>
          <w:sz w:val="24"/>
          <w:szCs w:val="24"/>
        </w:rPr>
      </w:pPr>
      <w:proofErr w:type="gramStart"/>
      <w:r w:rsidRPr="00B92B9C">
        <w:rPr>
          <w:rFonts w:ascii="Times New Roman" w:hAnsi="Times New Roman" w:cs="Times New Roman"/>
          <w:b/>
          <w:sz w:val="24"/>
          <w:szCs w:val="24"/>
        </w:rPr>
        <w:lastRenderedPageBreak/>
        <w:t>1</w:t>
      </w:r>
      <w:proofErr w:type="gramEnd"/>
      <w:r w:rsidRPr="00B92B9C">
        <w:rPr>
          <w:rFonts w:ascii="Times New Roman" w:hAnsi="Times New Roman" w:cs="Times New Roman"/>
          <w:b/>
          <w:sz w:val="24"/>
          <w:szCs w:val="24"/>
        </w:rPr>
        <w:t xml:space="preserve"> </w:t>
      </w:r>
      <w:r w:rsidR="00FF4B2C" w:rsidRPr="00B92B9C">
        <w:rPr>
          <w:rFonts w:ascii="Times New Roman" w:hAnsi="Times New Roman" w:cs="Times New Roman"/>
          <w:b/>
          <w:sz w:val="24"/>
          <w:szCs w:val="24"/>
        </w:rPr>
        <w:t>INTRODUÇÃO</w:t>
      </w:r>
    </w:p>
    <w:p w:rsidR="005A3B8A" w:rsidRDefault="005A3B8A" w:rsidP="005A3B8A">
      <w:pPr>
        <w:spacing w:line="360" w:lineRule="auto"/>
        <w:ind w:firstLine="709"/>
        <w:jc w:val="both"/>
        <w:rPr>
          <w:rFonts w:ascii="Arial" w:hAnsi="Arial" w:cs="Arial"/>
          <w:sz w:val="24"/>
          <w:szCs w:val="24"/>
        </w:rPr>
      </w:pPr>
      <w:r w:rsidRPr="00897290">
        <w:rPr>
          <w:rFonts w:ascii="Times New Roman" w:hAnsi="Times New Roman" w:cs="Times New Roman"/>
          <w:sz w:val="24"/>
          <w:szCs w:val="24"/>
        </w:rPr>
        <w:t>A questão a</w:t>
      </w:r>
      <w:r w:rsidR="0027730B">
        <w:rPr>
          <w:rFonts w:ascii="Times New Roman" w:hAnsi="Times New Roman" w:cs="Times New Roman"/>
          <w:sz w:val="24"/>
          <w:szCs w:val="24"/>
        </w:rPr>
        <w:t>mbiental é de maneira óbvia</w:t>
      </w:r>
      <w:r w:rsidRPr="00897290">
        <w:rPr>
          <w:rFonts w:ascii="Times New Roman" w:hAnsi="Times New Roman" w:cs="Times New Roman"/>
          <w:sz w:val="24"/>
          <w:szCs w:val="24"/>
        </w:rPr>
        <w:t xml:space="preserve"> uma das mais importantes no cenário mundial atual. O Brasil se destaca neste cenário com uma legislação considerada </w:t>
      </w:r>
      <w:r w:rsidR="00DC2C7E" w:rsidRPr="00897290">
        <w:rPr>
          <w:rFonts w:ascii="Times New Roman" w:hAnsi="Times New Roman" w:cs="Times New Roman"/>
          <w:sz w:val="24"/>
          <w:szCs w:val="24"/>
        </w:rPr>
        <w:t xml:space="preserve">a </w:t>
      </w:r>
      <w:r w:rsidRPr="00897290">
        <w:rPr>
          <w:rFonts w:ascii="Times New Roman" w:hAnsi="Times New Roman" w:cs="Times New Roman"/>
          <w:sz w:val="24"/>
          <w:szCs w:val="24"/>
        </w:rPr>
        <w:t xml:space="preserve">mais completa devida á abrangência de temas abordados pelo Novo Código Florestal. Além disso, os instrumentos de gestão ambiental pública são, na essência e de fato, compostos por instrumentos de comando e controle, ou seja, por regras e padrões a serem seguidos, atribuindo penalidades aos que não as </w:t>
      </w:r>
      <w:proofErr w:type="gramStart"/>
      <w:r w:rsidRPr="00897290">
        <w:rPr>
          <w:rFonts w:ascii="Times New Roman" w:hAnsi="Times New Roman" w:cs="Times New Roman"/>
          <w:sz w:val="24"/>
          <w:szCs w:val="24"/>
        </w:rPr>
        <w:t>cumprirem</w:t>
      </w:r>
      <w:proofErr w:type="gram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 "citationItems" : [ { "id" : "ITEM-1", "itemData" : { "DOI" : "10.1590/S0103-84782002000200010", "ISSN" : "0103-8478", "abstract" : "A quest\u00e3o ambiental \u00e9, sem d\u00favida, o \"fato do momento\" na civiliza\u00e7\u00e3o humana contempor\u00e2nea e, provavelmente, o de maior potencial de questionamento e transforma\u00e7\u00e3o na trajet\u00f3ria do processo civilizat\u00f3rio. Se, por um lado, ela introduz a possibilidade de redirecionar os rumos do desenvolvimento em benef\u00edcio das gera\u00e7\u00f5es futuras, por outro, os mecanismos concebidos para se alcan\u00e7ar tal objetivo podem trazer s\u00e9rios problemas \u00e0 sobreviv\u00eancia das gera\u00e7\u00f5es atuais de agricultores familiares. No caso brasileiro, os instrumentos de gest\u00e3o ambiental p\u00fablica s\u00e3o, na ess\u00eancia e de fato, compostos por instrumentos de comando e controle, ou seja, por regras e padr\u00f5es a serem seguidos, atribuindo penalidades aos que n\u00e3o as cumprirem. Este fato, paradoxalmente, tem reflexos danosos para o desenvolvimento global da sociedade, em particular ao meio rural, uma vez que agrava ainda mais a j\u00e1 prec\u00e1ria situa\u00e7\u00e3o de sobreviv\u00eancia de grande parcela dos agricultores familiares do pa\u00eds, por onerar o processo produtivo agr\u00edcola e por n\u00e3o propiciar os elementos b\u00e1sicos que permitam ao p\u00fablico envolvido o cumprimento das obriga\u00e7\u00f5es. O presente trabalho \u00e9 uma an\u00e1lise dos instrumentos p\u00fablicos de gest\u00e3o ambiental brasileira \u00e0 luz de estudos emp\u00edricos, dois deles ocorridos na regi\u00e3o central do Rio Grande do Sul, e outro na mata atl\u00e2ntica, no litoral norte do Paran\u00e1. A an\u00e1lise dessa problem\u00e1tica \u00e9 feita a partir dos seguintes eixos: os reflexos da aplica\u00e7\u00e3o de uma legisla\u00e7\u00e3o r\u00edgida, que atinge linearmente todo o rural; a desconsidera\u00e7\u00e3o dos efeitos da coibi\u00e7\u00e3o de determinadas pr\u00e1ticas para a reprodu\u00e7\u00e3o econ\u00f4mica e social dos agricultores; e as incongru\u00eancias te\u00f3ricas e pr\u00e1ticas da legisla\u00e7\u00e3o ambiental.", "author" : [ { "dropping-particle" : "", "family" : "Neumann", "given" : "Pedro Selvino", "non-dropping-particle" : "", "parse-names" : false, "suffix" : "" }, { "dropping-particle" : "", "family" : "Loch", "given" : "Carlos", "non-dropping-particle" : "", "parse-names" : false, "suffix" : "" } ], "container-title" : "Ci\u00eancia Rural", "id" : "ITEM-1", "issue" : "2", "issued" : { "date-parts" : [ [ "2002" ] ] }, "page" : "243-249", "title" : "Legisla\u00e7\u00e3o Ambiental, Desenvolvimento Rural E Pr\u00e1ticas Agr\u00edcolas", "type" : "article-journal", "volume" : "32" }, "uris" : [ "http://www.mendeley.com/documents/?uuid=c23e861c-2f76-43a3-96be-ef588708c41e" ] } ], "mendeley" : { "formattedCitation" : "(NEUMANN; LOCH, 2002)", "plainTextFormattedCitation" : "(NEUMANN; LOCH, 2002)", "previouslyFormattedCitation" : "(NEUMANN; LOCH, 2002)" }, "properties" : { "noteIndex" : 0 }, "schema" : "https://github.com/citation-style-language/schema/raw/master/csl-citation.json" }</w:instrText>
      </w:r>
      <w:r>
        <w:rPr>
          <w:rFonts w:ascii="Arial" w:hAnsi="Arial" w:cs="Arial"/>
          <w:sz w:val="24"/>
          <w:szCs w:val="24"/>
        </w:rPr>
        <w:fldChar w:fldCharType="separate"/>
      </w:r>
      <w:r>
        <w:rPr>
          <w:rFonts w:ascii="Arial" w:hAnsi="Arial" w:cs="Arial"/>
          <w:noProof/>
          <w:sz w:val="24"/>
          <w:szCs w:val="24"/>
        </w:rPr>
        <w:t>(NEUMANN; LOCH, 2002)</w:t>
      </w:r>
      <w:r>
        <w:rPr>
          <w:rFonts w:ascii="Arial" w:hAnsi="Arial" w:cs="Arial"/>
          <w:sz w:val="24"/>
          <w:szCs w:val="24"/>
        </w:rPr>
        <w:fldChar w:fldCharType="end"/>
      </w:r>
      <w:r>
        <w:rPr>
          <w:rFonts w:ascii="Arial" w:hAnsi="Arial" w:cs="Arial"/>
          <w:sz w:val="24"/>
          <w:szCs w:val="24"/>
        </w:rPr>
        <w:t xml:space="preserve">. </w:t>
      </w:r>
    </w:p>
    <w:p w:rsidR="005A3B8A" w:rsidRPr="00897290" w:rsidRDefault="005A3B8A" w:rsidP="005A3B8A">
      <w:pPr>
        <w:spacing w:line="360" w:lineRule="auto"/>
        <w:jc w:val="both"/>
        <w:rPr>
          <w:rFonts w:ascii="Times New Roman" w:hAnsi="Times New Roman" w:cs="Times New Roman"/>
          <w:sz w:val="24"/>
          <w:szCs w:val="24"/>
        </w:rPr>
      </w:pPr>
      <w:r>
        <w:rPr>
          <w:rFonts w:ascii="Arial" w:hAnsi="Arial" w:cs="Arial"/>
          <w:sz w:val="24"/>
          <w:szCs w:val="24"/>
        </w:rPr>
        <w:tab/>
      </w:r>
      <w:r w:rsidRPr="00897290">
        <w:rPr>
          <w:rFonts w:ascii="Times New Roman" w:hAnsi="Times New Roman" w:cs="Times New Roman"/>
          <w:sz w:val="24"/>
          <w:szCs w:val="24"/>
        </w:rPr>
        <w:t>Os instrumentos de política ambiental, contemporaneamente empregados no mundo são de duas ordens: Instrumentos Regulatórios, do tipo Comando e Controle; e os Instrumentos de Incentivos Econômicos ou de Mercado</w:t>
      </w:r>
      <w:r>
        <w:rPr>
          <w:rFonts w:ascii="Arial" w:hAnsi="Arial" w:cs="Arial"/>
          <w:sz w:val="24"/>
          <w:szCs w:val="24"/>
        </w:rPr>
        <w:t xml:space="preserve"> (SOUZA, 1998</w:t>
      </w:r>
      <w:r w:rsidR="00500DCC">
        <w:rPr>
          <w:rFonts w:ascii="Arial" w:hAnsi="Arial" w:cs="Arial"/>
          <w:sz w:val="24"/>
          <w:szCs w:val="24"/>
        </w:rPr>
        <w:t xml:space="preserve">, apud </w:t>
      </w:r>
      <w:r w:rsidR="00500DCC">
        <w:rPr>
          <w:rFonts w:ascii="Arial" w:hAnsi="Arial" w:cs="Arial"/>
          <w:noProof/>
          <w:sz w:val="24"/>
          <w:szCs w:val="24"/>
        </w:rPr>
        <w:t>NEUMANN; LOCH, 2002</w:t>
      </w:r>
      <w:r>
        <w:rPr>
          <w:rFonts w:ascii="Arial" w:hAnsi="Arial" w:cs="Arial"/>
          <w:sz w:val="24"/>
          <w:szCs w:val="24"/>
        </w:rPr>
        <w:t xml:space="preserve">). </w:t>
      </w:r>
      <w:r w:rsidRPr="00897290">
        <w:rPr>
          <w:rFonts w:ascii="Times New Roman" w:hAnsi="Times New Roman" w:cs="Times New Roman"/>
          <w:sz w:val="24"/>
          <w:szCs w:val="24"/>
        </w:rPr>
        <w:t xml:space="preserve">Os Instrumentos Regulatórios baseiam-se na problematização ambiental específica por meio de normas, leis e procedimentos a serem seguidos, juntamente com padrões fiscais e econômicos como outorgas e regulamentações, além das penalidades para os que não se adequam. </w:t>
      </w:r>
      <w:proofErr w:type="gramStart"/>
      <w:r w:rsidRPr="00897290">
        <w:rPr>
          <w:rFonts w:ascii="Times New Roman" w:hAnsi="Times New Roman" w:cs="Times New Roman"/>
          <w:sz w:val="24"/>
          <w:szCs w:val="24"/>
        </w:rPr>
        <w:t>O tipo Comando e Controle baseia-se</w:t>
      </w:r>
      <w:proofErr w:type="gramEnd"/>
      <w:r w:rsidRPr="00897290">
        <w:rPr>
          <w:rFonts w:ascii="Times New Roman" w:hAnsi="Times New Roman" w:cs="Times New Roman"/>
          <w:sz w:val="24"/>
          <w:szCs w:val="24"/>
        </w:rPr>
        <w:t xml:space="preserve"> no vínculo positivo entre desenvolvimento e ambiente, corrigindo ou prevenindo falhas, aumentando o acesso a recursos e tecnologias e promovendo um aumento </w:t>
      </w:r>
      <w:proofErr w:type="spellStart"/>
      <w:r w:rsidRPr="00897290">
        <w:rPr>
          <w:rFonts w:ascii="Times New Roman" w:hAnsi="Times New Roman" w:cs="Times New Roman"/>
          <w:sz w:val="24"/>
          <w:szCs w:val="24"/>
        </w:rPr>
        <w:t>eqüitativo</w:t>
      </w:r>
      <w:proofErr w:type="spellEnd"/>
      <w:r w:rsidRPr="00897290">
        <w:rPr>
          <w:rFonts w:ascii="Times New Roman" w:hAnsi="Times New Roman" w:cs="Times New Roman"/>
          <w:sz w:val="24"/>
          <w:szCs w:val="24"/>
        </w:rPr>
        <w:t xml:space="preserve"> da renda</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 "citationItems" : [ { "id" : "ITEM-1", "itemData" : { "DOI" : "10.1590/S0103-84782002000200010", "ISSN" : "0103-8478", "abstract" : "A quest\u00e3o ambiental \u00e9, sem d\u00favida, o \"fato do momento\" na civiliza\u00e7\u00e3o humana contempor\u00e2nea e, provavelmente, o de maior potencial de questionamento e transforma\u00e7\u00e3o na trajet\u00f3ria do processo civilizat\u00f3rio. Se, por um lado, ela introduz a possibilidade de redirecionar os rumos do desenvolvimento em benef\u00edcio das gera\u00e7\u00f5es futuras, por outro, os mecanismos concebidos para se alcan\u00e7ar tal objetivo podem trazer s\u00e9rios problemas \u00e0 sobreviv\u00eancia das gera\u00e7\u00f5es atuais de agricultores familiares. No caso brasileiro, os instrumentos de gest\u00e3o ambiental p\u00fablica s\u00e3o, na ess\u00eancia e de fato, compostos por instrumentos de comando e controle, ou seja, por regras e padr\u00f5es a serem seguidos, atribuindo penalidades aos que n\u00e3o as cumprirem. Este fato, paradoxalmente, tem reflexos danosos para o desenvolvimento global da sociedade, em particular ao meio rural, uma vez que agrava ainda mais a j\u00e1 prec\u00e1ria situa\u00e7\u00e3o de sobreviv\u00eancia de grande parcela dos agricultores familiares do pa\u00eds, por onerar o processo produtivo agr\u00edcola e por n\u00e3o propiciar os elementos b\u00e1sicos que permitam ao p\u00fablico envolvido o cumprimento das obriga\u00e7\u00f5es. O presente trabalho \u00e9 uma an\u00e1lise dos instrumentos p\u00fablicos de gest\u00e3o ambiental brasileira \u00e0 luz de estudos emp\u00edricos, dois deles ocorridos na regi\u00e3o central do Rio Grande do Sul, e outro na mata atl\u00e2ntica, no litoral norte do Paran\u00e1. A an\u00e1lise dessa problem\u00e1tica \u00e9 feita a partir dos seguintes eixos: os reflexos da aplica\u00e7\u00e3o de uma legisla\u00e7\u00e3o r\u00edgida, que atinge linearmente todo o rural; a desconsidera\u00e7\u00e3o dos efeitos da coibi\u00e7\u00e3o de determinadas pr\u00e1ticas para a reprodu\u00e7\u00e3o econ\u00f4mica e social dos agricultores; e as incongru\u00eancias te\u00f3ricas e pr\u00e1ticas da legisla\u00e7\u00e3o ambiental.", "author" : [ { "dropping-particle" : "", "family" : "Neumann", "given" : "Pedro Selvino", "non-dropping-particle" : "", "parse-names" : false, "suffix" : "" }, { "dropping-particle" : "", "family" : "Loch", "given" : "Carlos", "non-dropping-particle" : "", "parse-names" : false, "suffix" : "" } ], "container-title" : "Ci\u00eancia Rural", "id" : "ITEM-1", "issue" : "2", "issued" : { "date-parts" : [ [ "2002" ] ] }, "page" : "243-249", "title" : "Legisla\u00e7\u00e3o Ambiental, Desenvolvimento Rural E Pr\u00e1ticas Agr\u00edcolas", "type" : "article-journal", "volume" : "32" }, "uris" : [ "http://www.mendeley.com/documents/?uuid=c23e861c-2f76-43a3-96be-ef588708c41e" ] } ], "mendeley" : { "formattedCitation" : "(NEUMANN; LOCH, 2002)", "plainTextFormattedCitation" : "(NEUMANN; LOCH, 2002)", "previouslyFormattedCitation" : "(NEUMANN; LOCH, 2002)" }, "properties" : { "noteIndex" : 0 }, "schema" : "https://github.com/citation-style-language/schema/raw/master/csl-citation.json" }</w:instrText>
      </w:r>
      <w:r>
        <w:rPr>
          <w:rFonts w:ascii="Arial" w:hAnsi="Arial" w:cs="Arial"/>
          <w:sz w:val="24"/>
          <w:szCs w:val="24"/>
        </w:rPr>
        <w:fldChar w:fldCharType="separate"/>
      </w:r>
      <w:r>
        <w:rPr>
          <w:rFonts w:ascii="Arial" w:hAnsi="Arial" w:cs="Arial"/>
          <w:noProof/>
          <w:sz w:val="24"/>
          <w:szCs w:val="24"/>
        </w:rPr>
        <w:t>(NEUMANN; LOCH, 2002)</w:t>
      </w:r>
      <w:r>
        <w:rPr>
          <w:rFonts w:ascii="Arial" w:hAnsi="Arial" w:cs="Arial"/>
          <w:sz w:val="24"/>
          <w:szCs w:val="24"/>
        </w:rPr>
        <w:fldChar w:fldCharType="end"/>
      </w:r>
      <w:r>
        <w:rPr>
          <w:rFonts w:ascii="Arial" w:hAnsi="Arial" w:cs="Arial"/>
          <w:sz w:val="24"/>
          <w:szCs w:val="24"/>
        </w:rPr>
        <w:t xml:space="preserve">. </w:t>
      </w:r>
      <w:r w:rsidRPr="00897290">
        <w:rPr>
          <w:rFonts w:ascii="Times New Roman" w:hAnsi="Times New Roman" w:cs="Times New Roman"/>
          <w:sz w:val="24"/>
          <w:szCs w:val="24"/>
        </w:rPr>
        <w:t>Podemos citar neste grupo políticas de uso de tecnologias limpas e o incentivo através de subsídios á preservação do meio ambiente.</w:t>
      </w:r>
    </w:p>
    <w:p w:rsidR="005A3B8A" w:rsidRPr="00897290" w:rsidRDefault="005A3B8A" w:rsidP="005A3B8A">
      <w:pPr>
        <w:spacing w:line="360" w:lineRule="auto"/>
        <w:jc w:val="both"/>
        <w:rPr>
          <w:rFonts w:ascii="Times New Roman" w:hAnsi="Times New Roman" w:cs="Times New Roman"/>
          <w:sz w:val="24"/>
          <w:szCs w:val="24"/>
        </w:rPr>
      </w:pPr>
      <w:r w:rsidRPr="00897290">
        <w:rPr>
          <w:rFonts w:ascii="Times New Roman" w:hAnsi="Times New Roman" w:cs="Times New Roman"/>
          <w:sz w:val="24"/>
          <w:szCs w:val="24"/>
        </w:rPr>
        <w:tab/>
        <w:t>A Lei principal que orienta esses padrões é a Lei de Crimes Ambientais - nº 9.605 de 12 de fevereiro de 1998. Á partir dela int</w:t>
      </w:r>
      <w:r w:rsidR="00691199">
        <w:rPr>
          <w:rFonts w:ascii="Times New Roman" w:hAnsi="Times New Roman" w:cs="Times New Roman"/>
          <w:sz w:val="24"/>
          <w:szCs w:val="24"/>
        </w:rPr>
        <w:t xml:space="preserve">erpretam-se as questões quanto </w:t>
      </w:r>
      <w:proofErr w:type="gramStart"/>
      <w:r w:rsidR="00691199">
        <w:rPr>
          <w:rFonts w:ascii="Times New Roman" w:hAnsi="Times New Roman" w:cs="Times New Roman"/>
          <w:sz w:val="24"/>
          <w:szCs w:val="24"/>
        </w:rPr>
        <w:t>à</w:t>
      </w:r>
      <w:proofErr w:type="gramEnd"/>
      <w:r w:rsidRPr="00897290">
        <w:rPr>
          <w:rFonts w:ascii="Times New Roman" w:hAnsi="Times New Roman" w:cs="Times New Roman"/>
          <w:sz w:val="24"/>
          <w:szCs w:val="24"/>
        </w:rPr>
        <w:t xml:space="preserve"> crimes contra a flora, a fauna, aos recursos naturais e ao patrimônio cultural. Com isso, são estabelecidos padrões de interferência no meio ambiente e esses padrões </w:t>
      </w:r>
      <w:proofErr w:type="gramStart"/>
      <w:r w:rsidRPr="00897290">
        <w:rPr>
          <w:rFonts w:ascii="Times New Roman" w:hAnsi="Times New Roman" w:cs="Times New Roman"/>
          <w:sz w:val="24"/>
          <w:szCs w:val="24"/>
        </w:rPr>
        <w:t>são</w:t>
      </w:r>
      <w:proofErr w:type="gramEnd"/>
      <w:r w:rsidRPr="00897290">
        <w:rPr>
          <w:rFonts w:ascii="Times New Roman" w:hAnsi="Times New Roman" w:cs="Times New Roman"/>
          <w:sz w:val="24"/>
          <w:szCs w:val="24"/>
        </w:rPr>
        <w:t xml:space="preserve"> regulamentados á partir do processo de licenciamento ambiental, que abrange procedimentos como licenças de funcionamento, outorgas de uso e estudos de impacto ambiental, dentre outros. Além disso, a omissão ou sonegação de dados técnico-científicos durante um processo de licenciamento ou autorização ambiental se torna também um crime ambiental. </w:t>
      </w:r>
    </w:p>
    <w:p w:rsidR="005A3B8A" w:rsidRPr="00897290" w:rsidRDefault="005A3B8A" w:rsidP="005A3B8A">
      <w:pPr>
        <w:spacing w:line="360" w:lineRule="auto"/>
        <w:ind w:firstLine="708"/>
        <w:jc w:val="both"/>
        <w:rPr>
          <w:rFonts w:ascii="Times New Roman" w:hAnsi="Times New Roman" w:cs="Times New Roman"/>
          <w:sz w:val="24"/>
          <w:szCs w:val="24"/>
        </w:rPr>
      </w:pPr>
      <w:r w:rsidRPr="00897290">
        <w:rPr>
          <w:rFonts w:ascii="Times New Roman" w:hAnsi="Times New Roman" w:cs="Times New Roman"/>
          <w:sz w:val="24"/>
          <w:szCs w:val="24"/>
        </w:rPr>
        <w:t>O estado de Minas Gerais é o 4º maior em área com 586.521,235 km² e possui uma variação de características ambientais e sociais em toda sua plenitude. A região em questão é a Zona da Mata mineira, e possui área de</w:t>
      </w:r>
      <w:r w:rsidRPr="00897290">
        <w:rPr>
          <w:rStyle w:val="apple-converted-space"/>
          <w:rFonts w:ascii="Times New Roman" w:hAnsi="Times New Roman" w:cs="Times New Roman"/>
          <w:color w:val="545454"/>
          <w:shd w:val="clear" w:color="auto" w:fill="FFFFFF"/>
        </w:rPr>
        <w:t> </w:t>
      </w:r>
      <w:r w:rsidRPr="00897290">
        <w:rPr>
          <w:rFonts w:ascii="Times New Roman" w:hAnsi="Times New Roman" w:cs="Times New Roman"/>
          <w:sz w:val="24"/>
          <w:szCs w:val="24"/>
          <w:shd w:val="clear" w:color="auto" w:fill="FFFFFF"/>
        </w:rPr>
        <w:t>35.747,729 km²</w:t>
      </w:r>
      <w:r w:rsidR="0027730B">
        <w:rPr>
          <w:rFonts w:ascii="Times New Roman" w:hAnsi="Times New Roman" w:cs="Times New Roman"/>
          <w:sz w:val="24"/>
          <w:szCs w:val="24"/>
        </w:rPr>
        <w:t>. E</w:t>
      </w:r>
      <w:r w:rsidRPr="00897290">
        <w:rPr>
          <w:rFonts w:ascii="Times New Roman" w:hAnsi="Times New Roman" w:cs="Times New Roman"/>
          <w:sz w:val="24"/>
          <w:szCs w:val="24"/>
        </w:rPr>
        <w:t>sta região é caracterizada por um relevo ondulado denominado mares de morros e outro ponto característico é a divisão das propriedad</w:t>
      </w:r>
      <w:r w:rsidR="0027730B">
        <w:rPr>
          <w:rFonts w:ascii="Times New Roman" w:hAnsi="Times New Roman" w:cs="Times New Roman"/>
          <w:sz w:val="24"/>
          <w:szCs w:val="24"/>
        </w:rPr>
        <w:t>es em sítios (em maioria),</w:t>
      </w:r>
      <w:r w:rsidRPr="00897290">
        <w:rPr>
          <w:rFonts w:ascii="Times New Roman" w:hAnsi="Times New Roman" w:cs="Times New Roman"/>
          <w:sz w:val="24"/>
          <w:szCs w:val="24"/>
        </w:rPr>
        <w:t xml:space="preserve"> com área menor que 04 (quatro) módulos fiscais</w:t>
      </w:r>
      <w:r w:rsidR="0027730B">
        <w:rPr>
          <w:rFonts w:ascii="Times New Roman" w:hAnsi="Times New Roman" w:cs="Times New Roman"/>
          <w:sz w:val="24"/>
          <w:szCs w:val="24"/>
        </w:rPr>
        <w:t>,</w:t>
      </w:r>
      <w:r w:rsidRPr="00897290">
        <w:rPr>
          <w:rFonts w:ascii="Times New Roman" w:hAnsi="Times New Roman" w:cs="Times New Roman"/>
          <w:sz w:val="24"/>
          <w:szCs w:val="24"/>
        </w:rPr>
        <w:t xml:space="preserve"> que </w:t>
      </w:r>
      <w:r w:rsidRPr="00897290">
        <w:rPr>
          <w:rFonts w:ascii="Times New Roman" w:hAnsi="Times New Roman" w:cs="Times New Roman"/>
          <w:sz w:val="24"/>
          <w:szCs w:val="24"/>
        </w:rPr>
        <w:lastRenderedPageBreak/>
        <w:t>são dimensionados por município e compreendem um fator de sustentabilidade e viabilidade econômica por área.</w:t>
      </w:r>
    </w:p>
    <w:p w:rsidR="00691199" w:rsidRDefault="005A3B8A" w:rsidP="005A3B8A">
      <w:pPr>
        <w:spacing w:line="360" w:lineRule="auto"/>
        <w:ind w:firstLine="708"/>
        <w:jc w:val="both"/>
        <w:rPr>
          <w:rFonts w:ascii="Times New Roman" w:hAnsi="Times New Roman" w:cs="Times New Roman"/>
          <w:sz w:val="24"/>
          <w:szCs w:val="24"/>
        </w:rPr>
      </w:pPr>
      <w:r w:rsidRPr="00897290">
        <w:rPr>
          <w:rFonts w:ascii="Times New Roman" w:hAnsi="Times New Roman" w:cs="Times New Roman"/>
          <w:sz w:val="24"/>
          <w:szCs w:val="24"/>
        </w:rPr>
        <w:t>A legislação diferencia alguns aspectos quando relacionados ao tamanho da propriedade e as características do crime e do autuado. Essas variações contêm pontos como o valor da multa e a situação do imóvel. A análise conteve-se no período de 01 de Janeiro de 2015 á 01 de Outubro de 2016, e com isso foi observado o número de 9939 autuações no estado de Minas Gerais e 1059 autuações registradas na região da Zona da Mata Mineira. O trabalho desenvolvido é baseado na</w:t>
      </w:r>
      <w:r w:rsidR="0027730B">
        <w:rPr>
          <w:rFonts w:ascii="Times New Roman" w:hAnsi="Times New Roman" w:cs="Times New Roman"/>
          <w:sz w:val="24"/>
          <w:szCs w:val="24"/>
        </w:rPr>
        <w:t xml:space="preserve"> tabela de autos lavrados que</w:t>
      </w:r>
      <w:r w:rsidRPr="00897290">
        <w:rPr>
          <w:rFonts w:ascii="Times New Roman" w:hAnsi="Times New Roman" w:cs="Times New Roman"/>
          <w:sz w:val="24"/>
          <w:szCs w:val="24"/>
        </w:rPr>
        <w:t xml:space="preserve"> está disponível </w:t>
      </w:r>
      <w:r w:rsidR="002263E6" w:rsidRPr="00897290">
        <w:rPr>
          <w:rFonts w:ascii="Times New Roman" w:hAnsi="Times New Roman" w:cs="Times New Roman"/>
          <w:sz w:val="24"/>
          <w:szCs w:val="24"/>
        </w:rPr>
        <w:t>no site da Superintendência de Meio A</w:t>
      </w:r>
      <w:r w:rsidRPr="00897290">
        <w:rPr>
          <w:rFonts w:ascii="Times New Roman" w:hAnsi="Times New Roman" w:cs="Times New Roman"/>
          <w:sz w:val="24"/>
          <w:szCs w:val="24"/>
        </w:rPr>
        <w:t>mbiente</w:t>
      </w:r>
      <w:r w:rsidR="0027730B">
        <w:rPr>
          <w:rFonts w:ascii="Times New Roman" w:hAnsi="Times New Roman" w:cs="Times New Roman"/>
          <w:sz w:val="24"/>
          <w:szCs w:val="24"/>
        </w:rPr>
        <w:t xml:space="preserve"> do estado de Minas Gerais</w:t>
      </w:r>
      <w:r w:rsidRPr="00897290">
        <w:rPr>
          <w:rFonts w:ascii="Times New Roman" w:hAnsi="Times New Roman" w:cs="Times New Roman"/>
          <w:sz w:val="24"/>
          <w:szCs w:val="24"/>
        </w:rPr>
        <w:t>.</w:t>
      </w:r>
    </w:p>
    <w:p w:rsidR="005A3B8A" w:rsidRPr="00897290" w:rsidRDefault="005A3B8A" w:rsidP="005A3B8A">
      <w:pPr>
        <w:spacing w:line="360" w:lineRule="auto"/>
        <w:ind w:firstLine="708"/>
        <w:jc w:val="both"/>
        <w:rPr>
          <w:rFonts w:ascii="Times New Roman" w:hAnsi="Times New Roman" w:cs="Times New Roman"/>
          <w:color w:val="000000"/>
          <w:sz w:val="24"/>
          <w:szCs w:val="24"/>
        </w:rPr>
      </w:pPr>
      <w:r w:rsidRPr="00897290">
        <w:rPr>
          <w:rFonts w:ascii="Times New Roman" w:hAnsi="Times New Roman" w:cs="Times New Roman"/>
          <w:sz w:val="24"/>
          <w:szCs w:val="24"/>
        </w:rPr>
        <w:t>Os autos são lavrados por analistas ambientais ou agentes conveniados, no caso a Polícia Militar do Estado de Minas Gerais – Diretoria de Meio Am</w:t>
      </w:r>
      <w:r w:rsidR="002263E6" w:rsidRPr="00897290">
        <w:rPr>
          <w:rFonts w:ascii="Times New Roman" w:hAnsi="Times New Roman" w:cs="Times New Roman"/>
          <w:sz w:val="24"/>
          <w:szCs w:val="24"/>
        </w:rPr>
        <w:t>biente e Trânsito, e relatam as</w:t>
      </w:r>
      <w:r w:rsidRPr="00897290">
        <w:rPr>
          <w:rFonts w:ascii="Times New Roman" w:hAnsi="Times New Roman" w:cs="Times New Roman"/>
          <w:sz w:val="24"/>
          <w:szCs w:val="24"/>
        </w:rPr>
        <w:t xml:space="preserve"> inf</w:t>
      </w:r>
      <w:r w:rsidR="000D0249">
        <w:rPr>
          <w:rFonts w:ascii="Times New Roman" w:hAnsi="Times New Roman" w:cs="Times New Roman"/>
          <w:sz w:val="24"/>
          <w:szCs w:val="24"/>
        </w:rPr>
        <w:t>rações</w:t>
      </w:r>
      <w:r w:rsidRPr="00897290">
        <w:rPr>
          <w:rFonts w:ascii="Times New Roman" w:hAnsi="Times New Roman" w:cs="Times New Roman"/>
          <w:sz w:val="24"/>
          <w:szCs w:val="24"/>
        </w:rPr>
        <w:t xml:space="preserve"> relacionada</w:t>
      </w:r>
      <w:r w:rsidR="002263E6" w:rsidRPr="00897290">
        <w:rPr>
          <w:rFonts w:ascii="Times New Roman" w:hAnsi="Times New Roman" w:cs="Times New Roman"/>
          <w:sz w:val="24"/>
          <w:szCs w:val="24"/>
        </w:rPr>
        <w:t>s</w:t>
      </w:r>
      <w:r w:rsidRPr="00897290">
        <w:rPr>
          <w:rFonts w:ascii="Times New Roman" w:hAnsi="Times New Roman" w:cs="Times New Roman"/>
          <w:sz w:val="24"/>
          <w:szCs w:val="24"/>
        </w:rPr>
        <w:t xml:space="preserve"> á</w:t>
      </w:r>
      <w:r w:rsidR="002263E6" w:rsidRPr="00897290">
        <w:rPr>
          <w:rFonts w:ascii="Times New Roman" w:hAnsi="Times New Roman" w:cs="Times New Roman"/>
          <w:sz w:val="24"/>
          <w:szCs w:val="24"/>
        </w:rPr>
        <w:t>s</w:t>
      </w:r>
      <w:r w:rsidRPr="00897290">
        <w:rPr>
          <w:rFonts w:ascii="Times New Roman" w:hAnsi="Times New Roman" w:cs="Times New Roman"/>
          <w:sz w:val="24"/>
          <w:szCs w:val="24"/>
        </w:rPr>
        <w:t xml:space="preserve"> </w:t>
      </w:r>
      <w:r w:rsidRPr="00897290">
        <w:rPr>
          <w:rFonts w:ascii="Times New Roman" w:hAnsi="Times New Roman" w:cs="Times New Roman"/>
          <w:color w:val="000000"/>
          <w:sz w:val="24"/>
          <w:szCs w:val="24"/>
        </w:rPr>
        <w:t xml:space="preserve">intervenções ambientais, </w:t>
      </w:r>
      <w:proofErr w:type="gramStart"/>
      <w:r w:rsidRPr="00897290">
        <w:rPr>
          <w:rFonts w:ascii="Times New Roman" w:hAnsi="Times New Roman" w:cs="Times New Roman"/>
          <w:color w:val="000000"/>
          <w:sz w:val="24"/>
          <w:szCs w:val="24"/>
        </w:rPr>
        <w:t>sejam</w:t>
      </w:r>
      <w:proofErr w:type="gramEnd"/>
      <w:r w:rsidRPr="00897290">
        <w:rPr>
          <w:rFonts w:ascii="Times New Roman" w:hAnsi="Times New Roman" w:cs="Times New Roman"/>
          <w:color w:val="000000"/>
          <w:sz w:val="24"/>
          <w:szCs w:val="24"/>
        </w:rPr>
        <w:t xml:space="preserve"> na </w:t>
      </w:r>
      <w:r w:rsidRPr="00897290">
        <w:rPr>
          <w:rFonts w:ascii="Times New Roman" w:hAnsi="Times New Roman" w:cs="Times New Roman"/>
          <w:sz w:val="24"/>
          <w:szCs w:val="24"/>
        </w:rPr>
        <w:t>mineração,</w:t>
      </w:r>
      <w:r w:rsidRPr="00897290">
        <w:rPr>
          <w:rFonts w:ascii="Times New Roman" w:hAnsi="Times New Roman" w:cs="Times New Roman"/>
          <w:color w:val="000000"/>
          <w:sz w:val="24"/>
          <w:szCs w:val="24"/>
        </w:rPr>
        <w:t xml:space="preserve"> na indústria, nos recursos hídricos, na pesca, na flora (florestas e demais formas de vegetação),</w:t>
      </w:r>
      <w:r w:rsidR="000D0249">
        <w:rPr>
          <w:rFonts w:ascii="Times New Roman" w:hAnsi="Times New Roman" w:cs="Times New Roman"/>
          <w:color w:val="000000"/>
          <w:sz w:val="24"/>
          <w:szCs w:val="24"/>
        </w:rPr>
        <w:t xml:space="preserve"> fauna,</w:t>
      </w:r>
      <w:r w:rsidRPr="00897290">
        <w:rPr>
          <w:rFonts w:ascii="Times New Roman" w:hAnsi="Times New Roman" w:cs="Times New Roman"/>
          <w:color w:val="000000"/>
          <w:sz w:val="24"/>
          <w:szCs w:val="24"/>
        </w:rPr>
        <w:t xml:space="preserve"> dentre outros</w:t>
      </w:r>
      <w:r w:rsidR="000D0249">
        <w:rPr>
          <w:rFonts w:ascii="Times New Roman" w:hAnsi="Times New Roman" w:cs="Times New Roman"/>
          <w:color w:val="000000"/>
          <w:sz w:val="24"/>
          <w:szCs w:val="24"/>
        </w:rPr>
        <w:t xml:space="preserve"> aspectos do meio ambiente</w:t>
      </w:r>
      <w:r w:rsidRPr="00897290">
        <w:rPr>
          <w:rFonts w:ascii="Times New Roman" w:hAnsi="Times New Roman" w:cs="Times New Roman"/>
          <w:color w:val="000000"/>
          <w:sz w:val="24"/>
          <w:szCs w:val="24"/>
        </w:rPr>
        <w:t>. As penalidades que podem ser aplicadas por meio destes autos são advertência, multa simples, multa diária, suspensão total ou parcial das atividades, embargo da atividade ou obra, apreensão, demolição da obra, destruição ou inutilização do produto, suspensão da venda ou fabricação do produto ou restrição de direitos. As informações contidas nesses autos compreendem características do infrator, data da ocorrência, a infração em si e a situaçã</w:t>
      </w:r>
      <w:r w:rsidR="002431E4">
        <w:rPr>
          <w:rFonts w:ascii="Times New Roman" w:hAnsi="Times New Roman" w:cs="Times New Roman"/>
          <w:color w:val="000000"/>
          <w:sz w:val="24"/>
          <w:szCs w:val="24"/>
        </w:rPr>
        <w:t>o do imóvel ou relacionado</w:t>
      </w:r>
      <w:r w:rsidRPr="00897290">
        <w:rPr>
          <w:rFonts w:ascii="Times New Roman" w:hAnsi="Times New Roman" w:cs="Times New Roman"/>
          <w:color w:val="000000"/>
          <w:sz w:val="24"/>
          <w:szCs w:val="24"/>
        </w:rPr>
        <w:t>, além do valor da multa.</w:t>
      </w:r>
    </w:p>
    <w:p w:rsidR="000E77B4" w:rsidRPr="00897290" w:rsidRDefault="005A3B8A" w:rsidP="00691199">
      <w:pPr>
        <w:spacing w:line="360" w:lineRule="auto"/>
        <w:ind w:firstLine="708"/>
        <w:jc w:val="both"/>
        <w:rPr>
          <w:rFonts w:ascii="Times New Roman" w:hAnsi="Times New Roman" w:cs="Times New Roman"/>
          <w:sz w:val="24"/>
          <w:szCs w:val="24"/>
        </w:rPr>
      </w:pPr>
      <w:r w:rsidRPr="00897290">
        <w:rPr>
          <w:rFonts w:ascii="Times New Roman" w:hAnsi="Times New Roman" w:cs="Times New Roman"/>
          <w:color w:val="000000"/>
          <w:sz w:val="24"/>
          <w:szCs w:val="24"/>
        </w:rPr>
        <w:t>Tendo em vista este cenário, se tornou interessante a análise de dados visando maiores esclarecimentos quanto às autuações da região da Zona da Mata Mineira. O</w:t>
      </w:r>
      <w:r w:rsidRPr="00897290">
        <w:rPr>
          <w:rFonts w:ascii="Times New Roman" w:hAnsi="Times New Roman" w:cs="Times New Roman"/>
          <w:sz w:val="24"/>
          <w:szCs w:val="24"/>
        </w:rPr>
        <w:t xml:space="preserve"> objetivo então é analisar essas informações e diagnosticar as características do autuado, o principal tipo de multa, os valores desses tipos de multa, quanto à situação dos imóveis autuados e quanto à relação desses tipos de autuação e a estação meteorológica que acontecem durante esse período abordado.</w:t>
      </w:r>
    </w:p>
    <w:p w:rsidR="000E77B4" w:rsidRPr="00691199" w:rsidRDefault="00AB1CE1" w:rsidP="00780D15">
      <w:pPr>
        <w:pStyle w:val="PargrafodaLista"/>
        <w:numPr>
          <w:ilvl w:val="0"/>
          <w:numId w:val="6"/>
        </w:numPr>
        <w:tabs>
          <w:tab w:val="right" w:pos="9071"/>
        </w:tabs>
        <w:spacing w:after="0" w:line="360" w:lineRule="auto"/>
        <w:jc w:val="both"/>
        <w:rPr>
          <w:rFonts w:ascii="Times New Roman" w:hAnsi="Times New Roman" w:cs="Times New Roman"/>
          <w:b/>
          <w:sz w:val="24"/>
          <w:szCs w:val="24"/>
        </w:rPr>
      </w:pPr>
      <w:r w:rsidRPr="00691199">
        <w:rPr>
          <w:rFonts w:ascii="Times New Roman" w:hAnsi="Times New Roman" w:cs="Times New Roman"/>
          <w:b/>
          <w:sz w:val="24"/>
          <w:szCs w:val="24"/>
        </w:rPr>
        <w:t>ANÁLISE DOS DADOS</w:t>
      </w:r>
    </w:p>
    <w:p w:rsidR="00EE723E" w:rsidRPr="00691199" w:rsidRDefault="00EE723E" w:rsidP="00EE723E">
      <w:pPr>
        <w:pStyle w:val="PargrafodaLista"/>
        <w:tabs>
          <w:tab w:val="right" w:pos="9071"/>
        </w:tabs>
        <w:spacing w:after="0" w:line="360" w:lineRule="auto"/>
        <w:jc w:val="both"/>
        <w:rPr>
          <w:rFonts w:ascii="Times New Roman" w:hAnsi="Times New Roman" w:cs="Times New Roman"/>
          <w:b/>
          <w:sz w:val="24"/>
          <w:szCs w:val="24"/>
        </w:rPr>
      </w:pPr>
    </w:p>
    <w:p w:rsidR="00960811" w:rsidRPr="00691199" w:rsidRDefault="008F0953" w:rsidP="00780D15">
      <w:pPr>
        <w:pStyle w:val="PargrafodaLista"/>
        <w:numPr>
          <w:ilvl w:val="1"/>
          <w:numId w:val="6"/>
        </w:numPr>
        <w:spacing w:line="360" w:lineRule="auto"/>
        <w:jc w:val="both"/>
        <w:rPr>
          <w:rFonts w:ascii="Times New Roman" w:hAnsi="Times New Roman" w:cs="Times New Roman"/>
          <w:sz w:val="24"/>
          <w:szCs w:val="24"/>
        </w:rPr>
      </w:pPr>
      <w:r w:rsidRPr="00691199">
        <w:rPr>
          <w:rFonts w:ascii="Times New Roman" w:hAnsi="Times New Roman" w:cs="Times New Roman"/>
          <w:sz w:val="24"/>
          <w:szCs w:val="24"/>
        </w:rPr>
        <w:t xml:space="preserve"> </w:t>
      </w:r>
      <w:r w:rsidR="008A0C75" w:rsidRPr="00691199">
        <w:rPr>
          <w:rFonts w:ascii="Times New Roman" w:hAnsi="Times New Roman" w:cs="Times New Roman"/>
          <w:sz w:val="24"/>
          <w:szCs w:val="24"/>
        </w:rPr>
        <w:t>Características do a</w:t>
      </w:r>
      <w:r w:rsidR="00691199" w:rsidRPr="00691199">
        <w:rPr>
          <w:rFonts w:ascii="Times New Roman" w:hAnsi="Times New Roman" w:cs="Times New Roman"/>
          <w:sz w:val="24"/>
          <w:szCs w:val="24"/>
        </w:rPr>
        <w:t>utuado</w:t>
      </w:r>
    </w:p>
    <w:p w:rsidR="00960811" w:rsidRDefault="00960811" w:rsidP="00960811">
      <w:pPr>
        <w:spacing w:before="240" w:line="360" w:lineRule="auto"/>
        <w:ind w:firstLine="708"/>
        <w:jc w:val="both"/>
        <w:rPr>
          <w:rFonts w:ascii="Times New Roman" w:hAnsi="Times New Roman" w:cs="Times New Roman"/>
          <w:sz w:val="24"/>
          <w:szCs w:val="24"/>
        </w:rPr>
      </w:pPr>
      <w:r w:rsidRPr="00897290">
        <w:rPr>
          <w:rFonts w:ascii="Times New Roman" w:hAnsi="Times New Roman" w:cs="Times New Roman"/>
          <w:sz w:val="24"/>
          <w:szCs w:val="24"/>
        </w:rPr>
        <w:t>A primeira abordagem a ser f</w:t>
      </w:r>
      <w:r w:rsidR="00691199">
        <w:rPr>
          <w:rFonts w:ascii="Times New Roman" w:hAnsi="Times New Roman" w:cs="Times New Roman"/>
          <w:sz w:val="24"/>
          <w:szCs w:val="24"/>
        </w:rPr>
        <w:t>eita neste contexto é relativa à</w:t>
      </w:r>
      <w:r w:rsidRPr="00897290">
        <w:rPr>
          <w:rFonts w:ascii="Times New Roman" w:hAnsi="Times New Roman" w:cs="Times New Roman"/>
          <w:sz w:val="24"/>
          <w:szCs w:val="24"/>
        </w:rPr>
        <w:t xml:space="preserve"> característica do autuado. Este pode </w:t>
      </w:r>
      <w:r w:rsidR="000D0249">
        <w:rPr>
          <w:rFonts w:ascii="Times New Roman" w:hAnsi="Times New Roman" w:cs="Times New Roman"/>
          <w:sz w:val="24"/>
          <w:szCs w:val="24"/>
        </w:rPr>
        <w:t>s</w:t>
      </w:r>
      <w:r w:rsidRPr="00897290">
        <w:rPr>
          <w:rFonts w:ascii="Times New Roman" w:hAnsi="Times New Roman" w:cs="Times New Roman"/>
          <w:sz w:val="24"/>
          <w:szCs w:val="24"/>
        </w:rPr>
        <w:t>e diferenciar em pessoa física e pessoa jurídica,</w:t>
      </w:r>
      <w:r w:rsidR="000D0249">
        <w:rPr>
          <w:rFonts w:ascii="Times New Roman" w:hAnsi="Times New Roman" w:cs="Times New Roman"/>
          <w:sz w:val="24"/>
          <w:szCs w:val="24"/>
        </w:rPr>
        <w:t xml:space="preserve"> sendo que este segundo grupo </w:t>
      </w:r>
      <w:r w:rsidRPr="00897290">
        <w:rPr>
          <w:rFonts w:ascii="Times New Roman" w:hAnsi="Times New Roman" w:cs="Times New Roman"/>
          <w:sz w:val="24"/>
          <w:szCs w:val="24"/>
        </w:rPr>
        <w:t>ramifica</w:t>
      </w:r>
      <w:r w:rsidR="000D0249">
        <w:rPr>
          <w:rFonts w:ascii="Times New Roman" w:hAnsi="Times New Roman" w:cs="Times New Roman"/>
          <w:sz w:val="24"/>
          <w:szCs w:val="24"/>
        </w:rPr>
        <w:t>-se</w:t>
      </w:r>
      <w:r w:rsidRPr="00897290">
        <w:rPr>
          <w:rFonts w:ascii="Times New Roman" w:hAnsi="Times New Roman" w:cs="Times New Roman"/>
          <w:sz w:val="24"/>
          <w:szCs w:val="24"/>
        </w:rPr>
        <w:t xml:space="preserve"> em empresas e órgãos públicos, no caso prefeituras. Das 1059 autuações </w:t>
      </w:r>
      <w:r w:rsidRPr="00897290">
        <w:rPr>
          <w:rFonts w:ascii="Times New Roman" w:hAnsi="Times New Roman" w:cs="Times New Roman"/>
          <w:sz w:val="24"/>
          <w:szCs w:val="24"/>
        </w:rPr>
        <w:lastRenderedPageBreak/>
        <w:t>registradas, 818 (77,24%) se destacaram por se tratar de pessoas físicas e 241 autuações de pessoas jurídicas, das quais 197 (18,60%) foram delitos de órgãos privados (empresas e empresários) e 44 (4,16%) foram delitos de órgãos públicos (prefeituras)</w:t>
      </w:r>
      <w:r w:rsidR="00691199">
        <w:rPr>
          <w:rFonts w:ascii="Times New Roman" w:hAnsi="Times New Roman" w:cs="Times New Roman"/>
          <w:sz w:val="24"/>
          <w:szCs w:val="24"/>
        </w:rPr>
        <w:t>, conforme o gráfico 01</w:t>
      </w:r>
      <w:r w:rsidRPr="00897290">
        <w:rPr>
          <w:rFonts w:ascii="Times New Roman" w:hAnsi="Times New Roman" w:cs="Times New Roman"/>
          <w:sz w:val="24"/>
          <w:szCs w:val="24"/>
        </w:rPr>
        <w:t>. Com essas informações, é evidenciada a ineficiência dos órgãos públicos, onde existem c</w:t>
      </w:r>
      <w:r w:rsidR="00691199">
        <w:rPr>
          <w:rFonts w:ascii="Times New Roman" w:hAnsi="Times New Roman" w:cs="Times New Roman"/>
          <w:sz w:val="24"/>
          <w:szCs w:val="24"/>
        </w:rPr>
        <w:t xml:space="preserve">argos específicos relacionados </w:t>
      </w:r>
      <w:proofErr w:type="gramStart"/>
      <w:r w:rsidR="00691199">
        <w:rPr>
          <w:rFonts w:ascii="Times New Roman" w:hAnsi="Times New Roman" w:cs="Times New Roman"/>
          <w:sz w:val="24"/>
          <w:szCs w:val="24"/>
        </w:rPr>
        <w:t>à</w:t>
      </w:r>
      <w:proofErr w:type="gramEnd"/>
      <w:r w:rsidRPr="00897290">
        <w:rPr>
          <w:rFonts w:ascii="Times New Roman" w:hAnsi="Times New Roman" w:cs="Times New Roman"/>
          <w:sz w:val="24"/>
          <w:szCs w:val="24"/>
        </w:rPr>
        <w:t xml:space="preserve"> essas intervenções ambientais e mesmo assim ocorrem delitos que </w:t>
      </w:r>
      <w:r w:rsidR="00691199">
        <w:rPr>
          <w:rFonts w:ascii="Times New Roman" w:hAnsi="Times New Roman" w:cs="Times New Roman"/>
          <w:sz w:val="24"/>
          <w:szCs w:val="24"/>
        </w:rPr>
        <w:t>culminam nessas autuações.</w:t>
      </w:r>
    </w:p>
    <w:p w:rsidR="00691199" w:rsidRPr="00897290" w:rsidRDefault="00691199" w:rsidP="00691199">
      <w:pPr>
        <w:spacing w:before="24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Gráfico 01. </w:t>
      </w:r>
      <w:r w:rsidRPr="0025076B">
        <w:t>Autuações ambientais em relação á</w:t>
      </w:r>
      <w:r>
        <w:t>s características dos autuados</w:t>
      </w:r>
      <w:r w:rsidRPr="0025076B">
        <w:t>.</w:t>
      </w:r>
    </w:p>
    <w:p w:rsidR="002263E6" w:rsidRDefault="00960811" w:rsidP="00691199">
      <w:pPr>
        <w:keepNext/>
        <w:spacing w:line="360" w:lineRule="auto"/>
        <w:ind w:firstLine="708"/>
      </w:pPr>
      <w:r>
        <w:rPr>
          <w:noProof/>
        </w:rPr>
        <w:drawing>
          <wp:inline distT="0" distB="0" distL="0" distR="0" wp14:anchorId="73916EC3" wp14:editId="2D531DCF">
            <wp:extent cx="4287520" cy="171640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65F7" w:rsidRDefault="00960811" w:rsidP="00691199">
      <w:pPr>
        <w:spacing w:line="360" w:lineRule="auto"/>
        <w:ind w:firstLine="708"/>
        <w:jc w:val="both"/>
        <w:rPr>
          <w:rFonts w:ascii="Times New Roman" w:hAnsi="Times New Roman" w:cs="Times New Roman"/>
          <w:sz w:val="24"/>
          <w:szCs w:val="24"/>
        </w:rPr>
      </w:pPr>
      <w:r w:rsidRPr="00897290">
        <w:rPr>
          <w:rFonts w:ascii="Times New Roman" w:hAnsi="Times New Roman" w:cs="Times New Roman"/>
          <w:sz w:val="24"/>
          <w:szCs w:val="24"/>
        </w:rPr>
        <w:t>Dentro deste contexto é observado que a</w:t>
      </w:r>
      <w:r w:rsidR="000D0249">
        <w:rPr>
          <w:rFonts w:ascii="Times New Roman" w:hAnsi="Times New Roman" w:cs="Times New Roman"/>
          <w:sz w:val="24"/>
          <w:szCs w:val="24"/>
        </w:rPr>
        <w:t xml:space="preserve"> maioria das multas da</w:t>
      </w:r>
      <w:r w:rsidRPr="00897290">
        <w:rPr>
          <w:rFonts w:ascii="Times New Roman" w:hAnsi="Times New Roman" w:cs="Times New Roman"/>
          <w:sz w:val="24"/>
          <w:szCs w:val="24"/>
        </w:rPr>
        <w:t xml:space="preserve">s </w:t>
      </w:r>
      <w:r w:rsidR="000D0249">
        <w:rPr>
          <w:rFonts w:ascii="Times New Roman" w:hAnsi="Times New Roman" w:cs="Times New Roman"/>
          <w:sz w:val="24"/>
          <w:szCs w:val="24"/>
        </w:rPr>
        <w:t xml:space="preserve">prefeituras estão </w:t>
      </w:r>
      <w:proofErr w:type="gramStart"/>
      <w:r w:rsidR="000D0249">
        <w:rPr>
          <w:rFonts w:ascii="Times New Roman" w:hAnsi="Times New Roman" w:cs="Times New Roman"/>
          <w:sz w:val="24"/>
          <w:szCs w:val="24"/>
        </w:rPr>
        <w:t>relacionadas</w:t>
      </w:r>
      <w:proofErr w:type="gramEnd"/>
      <w:r w:rsidR="000D0249">
        <w:rPr>
          <w:rFonts w:ascii="Times New Roman" w:hAnsi="Times New Roman" w:cs="Times New Roman"/>
          <w:sz w:val="24"/>
          <w:szCs w:val="24"/>
        </w:rPr>
        <w:t xml:space="preserve"> ao uso indevido</w:t>
      </w:r>
      <w:r w:rsidRPr="00897290">
        <w:rPr>
          <w:rFonts w:ascii="Times New Roman" w:hAnsi="Times New Roman" w:cs="Times New Roman"/>
          <w:sz w:val="24"/>
          <w:szCs w:val="24"/>
        </w:rPr>
        <w:t xml:space="preserve"> de recursos da FEAM</w:t>
      </w:r>
      <w:r w:rsidR="00691199">
        <w:rPr>
          <w:rFonts w:ascii="Times New Roman" w:hAnsi="Times New Roman" w:cs="Times New Roman"/>
          <w:sz w:val="24"/>
          <w:szCs w:val="24"/>
        </w:rPr>
        <w:t xml:space="preserve"> (Fundação Estadual do Meio Ambiente)</w:t>
      </w:r>
      <w:r w:rsidRPr="00897290">
        <w:rPr>
          <w:rFonts w:ascii="Times New Roman" w:hAnsi="Times New Roman" w:cs="Times New Roman"/>
          <w:sz w:val="24"/>
          <w:szCs w:val="24"/>
        </w:rPr>
        <w:t>, sendo que somam 22 (50,00%)</w:t>
      </w:r>
      <w:r w:rsidR="000D0249">
        <w:rPr>
          <w:rFonts w:ascii="Times New Roman" w:hAnsi="Times New Roman" w:cs="Times New Roman"/>
          <w:sz w:val="24"/>
          <w:szCs w:val="24"/>
        </w:rPr>
        <w:t xml:space="preserve"> autuações</w:t>
      </w:r>
      <w:r w:rsidRPr="00897290">
        <w:rPr>
          <w:rFonts w:ascii="Times New Roman" w:hAnsi="Times New Roman" w:cs="Times New Roman"/>
          <w:sz w:val="24"/>
          <w:szCs w:val="24"/>
        </w:rPr>
        <w:t>, sen</w:t>
      </w:r>
      <w:r w:rsidR="000D0249">
        <w:rPr>
          <w:rFonts w:ascii="Times New Roman" w:hAnsi="Times New Roman" w:cs="Times New Roman"/>
          <w:sz w:val="24"/>
          <w:szCs w:val="24"/>
        </w:rPr>
        <w:t>do que 15 (34,09%)</w:t>
      </w:r>
      <w:r w:rsidRPr="00897290">
        <w:rPr>
          <w:rFonts w:ascii="Times New Roman" w:hAnsi="Times New Roman" w:cs="Times New Roman"/>
          <w:sz w:val="24"/>
          <w:szCs w:val="24"/>
        </w:rPr>
        <w:t xml:space="preserve"> são relacionadas </w:t>
      </w:r>
      <w:r w:rsidR="00691199">
        <w:rPr>
          <w:rFonts w:ascii="Times New Roman" w:hAnsi="Times New Roman" w:cs="Times New Roman"/>
          <w:sz w:val="24"/>
          <w:szCs w:val="24"/>
        </w:rPr>
        <w:t>à</w:t>
      </w:r>
      <w:r w:rsidRPr="00897290">
        <w:rPr>
          <w:rFonts w:ascii="Times New Roman" w:hAnsi="Times New Roman" w:cs="Times New Roman"/>
          <w:sz w:val="24"/>
          <w:szCs w:val="24"/>
        </w:rPr>
        <w:t xml:space="preserve"> Lei Flor</w:t>
      </w:r>
      <w:r w:rsidR="000D0249">
        <w:rPr>
          <w:rFonts w:ascii="Times New Roman" w:hAnsi="Times New Roman" w:cs="Times New Roman"/>
          <w:sz w:val="24"/>
          <w:szCs w:val="24"/>
        </w:rPr>
        <w:t>estal, 05 (11,36%)</w:t>
      </w:r>
      <w:r w:rsidR="00691199">
        <w:rPr>
          <w:rFonts w:ascii="Times New Roman" w:hAnsi="Times New Roman" w:cs="Times New Roman"/>
          <w:sz w:val="24"/>
          <w:szCs w:val="24"/>
        </w:rPr>
        <w:t xml:space="preserve"> relacionadas à</w:t>
      </w:r>
      <w:r w:rsidRPr="00897290">
        <w:rPr>
          <w:rFonts w:ascii="Times New Roman" w:hAnsi="Times New Roman" w:cs="Times New Roman"/>
          <w:sz w:val="24"/>
          <w:szCs w:val="24"/>
        </w:rPr>
        <w:t xml:space="preserve"> Lei 7772/80 e</w:t>
      </w:r>
      <w:r w:rsidR="000D0249">
        <w:rPr>
          <w:rFonts w:ascii="Times New Roman" w:hAnsi="Times New Roman" w:cs="Times New Roman"/>
          <w:sz w:val="24"/>
          <w:szCs w:val="24"/>
        </w:rPr>
        <w:t xml:space="preserve"> DN74 e 02 (4,55%)</w:t>
      </w:r>
      <w:r w:rsidRPr="00897290">
        <w:rPr>
          <w:rFonts w:ascii="Times New Roman" w:hAnsi="Times New Roman" w:cs="Times New Roman"/>
          <w:sz w:val="24"/>
          <w:szCs w:val="24"/>
        </w:rPr>
        <w:t xml:space="preserve"> relacionadas ao IGAM</w:t>
      </w:r>
      <w:r w:rsidR="00691199">
        <w:rPr>
          <w:rFonts w:ascii="Times New Roman" w:hAnsi="Times New Roman" w:cs="Times New Roman"/>
          <w:sz w:val="24"/>
          <w:szCs w:val="24"/>
        </w:rPr>
        <w:t xml:space="preserve"> (Instituto Mineiro de Gestão de Águas)</w:t>
      </w:r>
      <w:r w:rsidRPr="00897290">
        <w:rPr>
          <w:rFonts w:ascii="Times New Roman" w:hAnsi="Times New Roman" w:cs="Times New Roman"/>
          <w:sz w:val="24"/>
          <w:szCs w:val="24"/>
        </w:rPr>
        <w:t xml:space="preserve">, no total de 44 autuações. Esta multa </w:t>
      </w:r>
      <w:r w:rsidR="000D0249">
        <w:rPr>
          <w:rFonts w:ascii="Times New Roman" w:hAnsi="Times New Roman" w:cs="Times New Roman"/>
          <w:sz w:val="24"/>
          <w:szCs w:val="24"/>
        </w:rPr>
        <w:t xml:space="preserve">de recursos da FEAM </w:t>
      </w:r>
      <w:r w:rsidRPr="00897290">
        <w:rPr>
          <w:rFonts w:ascii="Times New Roman" w:hAnsi="Times New Roman" w:cs="Times New Roman"/>
          <w:sz w:val="24"/>
          <w:szCs w:val="24"/>
        </w:rPr>
        <w:t>é oriunda da fiscalização da Fundação Estadual do Meio Ambiente e são relacionadas á empecilhos cometidos quanto aos processos de licenciamento ambiental.</w:t>
      </w:r>
    </w:p>
    <w:p w:rsidR="00691199" w:rsidRPr="00691199" w:rsidRDefault="00691199" w:rsidP="0005194A">
      <w:pPr>
        <w:spacing w:line="360" w:lineRule="auto"/>
        <w:jc w:val="both"/>
        <w:rPr>
          <w:rFonts w:ascii="Times New Roman" w:hAnsi="Times New Roman" w:cs="Times New Roman"/>
          <w:sz w:val="24"/>
          <w:szCs w:val="24"/>
        </w:rPr>
      </w:pPr>
    </w:p>
    <w:p w:rsidR="00960811" w:rsidRPr="00691199" w:rsidRDefault="00897290" w:rsidP="00780D15">
      <w:pPr>
        <w:pStyle w:val="PargrafodaLista"/>
        <w:numPr>
          <w:ilvl w:val="1"/>
          <w:numId w:val="6"/>
        </w:numPr>
        <w:spacing w:line="360" w:lineRule="auto"/>
        <w:jc w:val="both"/>
        <w:rPr>
          <w:rFonts w:ascii="Times New Roman" w:hAnsi="Times New Roman" w:cs="Times New Roman"/>
          <w:sz w:val="24"/>
          <w:szCs w:val="24"/>
        </w:rPr>
      </w:pPr>
      <w:r w:rsidRPr="00691199">
        <w:rPr>
          <w:rFonts w:ascii="Times New Roman" w:hAnsi="Times New Roman" w:cs="Times New Roman"/>
          <w:sz w:val="24"/>
          <w:szCs w:val="24"/>
        </w:rPr>
        <w:t xml:space="preserve"> </w:t>
      </w:r>
      <w:r w:rsidR="008A0C75" w:rsidRPr="00691199">
        <w:rPr>
          <w:rFonts w:ascii="Times New Roman" w:hAnsi="Times New Roman" w:cs="Times New Roman"/>
          <w:sz w:val="24"/>
          <w:szCs w:val="24"/>
        </w:rPr>
        <w:t>Quanto aos tipos de m</w:t>
      </w:r>
      <w:r w:rsidR="00960811" w:rsidRPr="00691199">
        <w:rPr>
          <w:rFonts w:ascii="Times New Roman" w:hAnsi="Times New Roman" w:cs="Times New Roman"/>
          <w:sz w:val="24"/>
          <w:szCs w:val="24"/>
        </w:rPr>
        <w:t>ultas:</w:t>
      </w:r>
    </w:p>
    <w:p w:rsidR="00960811" w:rsidRDefault="00960811" w:rsidP="00691199">
      <w:pPr>
        <w:spacing w:line="360" w:lineRule="auto"/>
        <w:ind w:firstLine="709"/>
        <w:jc w:val="both"/>
        <w:rPr>
          <w:rFonts w:ascii="Times New Roman" w:hAnsi="Times New Roman" w:cs="Times New Roman"/>
          <w:sz w:val="24"/>
          <w:szCs w:val="24"/>
        </w:rPr>
      </w:pPr>
      <w:r w:rsidRPr="00897290">
        <w:rPr>
          <w:rFonts w:ascii="Times New Roman" w:hAnsi="Times New Roman" w:cs="Times New Roman"/>
          <w:sz w:val="24"/>
          <w:szCs w:val="24"/>
        </w:rPr>
        <w:t>As multas ambientais observadas</w:t>
      </w:r>
      <w:r w:rsidR="00691199">
        <w:rPr>
          <w:rFonts w:ascii="Times New Roman" w:hAnsi="Times New Roman" w:cs="Times New Roman"/>
          <w:sz w:val="24"/>
          <w:szCs w:val="24"/>
        </w:rPr>
        <w:t xml:space="preserve"> no período de Janeiro de 2015 a</w:t>
      </w:r>
      <w:r w:rsidRPr="00897290">
        <w:rPr>
          <w:rFonts w:ascii="Times New Roman" w:hAnsi="Times New Roman" w:cs="Times New Roman"/>
          <w:sz w:val="24"/>
          <w:szCs w:val="24"/>
        </w:rPr>
        <w:t xml:space="preserve"> Setembro de 2016</w:t>
      </w:r>
      <w:r w:rsidR="009E427D">
        <w:rPr>
          <w:rFonts w:ascii="Times New Roman" w:hAnsi="Times New Roman" w:cs="Times New Roman"/>
          <w:sz w:val="24"/>
          <w:szCs w:val="24"/>
        </w:rPr>
        <w:t xml:space="preserve"> </w:t>
      </w:r>
      <w:r w:rsidRPr="00897290">
        <w:rPr>
          <w:rFonts w:ascii="Times New Roman" w:hAnsi="Times New Roman" w:cs="Times New Roman"/>
          <w:sz w:val="24"/>
          <w:szCs w:val="24"/>
        </w:rPr>
        <w:t xml:space="preserve">compreendem as derivações de Multas e Recursos da FEAM, relacionadas aos processos </w:t>
      </w:r>
      <w:r w:rsidR="00691199">
        <w:rPr>
          <w:rFonts w:ascii="Times New Roman" w:hAnsi="Times New Roman" w:cs="Times New Roman"/>
          <w:sz w:val="24"/>
          <w:szCs w:val="24"/>
        </w:rPr>
        <w:t>de licenciamento ambiental; as m</w:t>
      </w:r>
      <w:r w:rsidRPr="00897290">
        <w:rPr>
          <w:rFonts w:ascii="Times New Roman" w:hAnsi="Times New Roman" w:cs="Times New Roman"/>
          <w:sz w:val="24"/>
          <w:szCs w:val="24"/>
        </w:rPr>
        <w:t>ul</w:t>
      </w:r>
      <w:r w:rsidR="00691199">
        <w:rPr>
          <w:rFonts w:ascii="Times New Roman" w:hAnsi="Times New Roman" w:cs="Times New Roman"/>
          <w:sz w:val="24"/>
          <w:szCs w:val="24"/>
        </w:rPr>
        <w:t>tas relacionadas ao IGAM</w:t>
      </w:r>
      <w:r w:rsidR="000D046C">
        <w:rPr>
          <w:rFonts w:ascii="Times New Roman" w:hAnsi="Times New Roman" w:cs="Times New Roman"/>
          <w:sz w:val="24"/>
          <w:szCs w:val="24"/>
        </w:rPr>
        <w:t>; multas relacionadas à</w:t>
      </w:r>
      <w:r w:rsidRPr="00897290">
        <w:rPr>
          <w:rFonts w:ascii="Times New Roman" w:hAnsi="Times New Roman" w:cs="Times New Roman"/>
          <w:sz w:val="24"/>
          <w:szCs w:val="24"/>
        </w:rPr>
        <w:t xml:space="preserve"> Pes</w:t>
      </w:r>
      <w:r w:rsidR="000D046C">
        <w:rPr>
          <w:rFonts w:ascii="Times New Roman" w:hAnsi="Times New Roman" w:cs="Times New Roman"/>
          <w:sz w:val="24"/>
          <w:szCs w:val="24"/>
        </w:rPr>
        <w:t>ca; multas relacionadas à Fauna; multas relacionadas à Lei 7772/80 e</w:t>
      </w:r>
      <w:r w:rsidRPr="00897290">
        <w:rPr>
          <w:rFonts w:ascii="Times New Roman" w:hAnsi="Times New Roman" w:cs="Times New Roman"/>
          <w:sz w:val="24"/>
          <w:szCs w:val="24"/>
        </w:rPr>
        <w:t xml:space="preserve"> DN74, </w:t>
      </w:r>
      <w:proofErr w:type="gramStart"/>
      <w:r w:rsidRPr="00897290">
        <w:rPr>
          <w:rFonts w:ascii="Times New Roman" w:hAnsi="Times New Roman" w:cs="Times New Roman"/>
          <w:sz w:val="24"/>
          <w:szCs w:val="24"/>
        </w:rPr>
        <w:t>embasadas na poluição ambiental e multas do tipo Lei Florestal, que envolve</w:t>
      </w:r>
      <w:r w:rsidR="000D046C">
        <w:rPr>
          <w:rFonts w:ascii="Times New Roman" w:hAnsi="Times New Roman" w:cs="Times New Roman"/>
          <w:sz w:val="24"/>
          <w:szCs w:val="24"/>
        </w:rPr>
        <w:t>m</w:t>
      </w:r>
      <w:r w:rsidRPr="00897290">
        <w:rPr>
          <w:rFonts w:ascii="Times New Roman" w:hAnsi="Times New Roman" w:cs="Times New Roman"/>
          <w:sz w:val="24"/>
          <w:szCs w:val="24"/>
        </w:rPr>
        <w:t xml:space="preserve"> queimadas</w:t>
      </w:r>
      <w:proofErr w:type="gramEnd"/>
      <w:r w:rsidRPr="00897290">
        <w:rPr>
          <w:rFonts w:ascii="Times New Roman" w:hAnsi="Times New Roman" w:cs="Times New Roman"/>
          <w:sz w:val="24"/>
          <w:szCs w:val="24"/>
        </w:rPr>
        <w:t xml:space="preserve">, desmatamentos e outros crimes contra flora. A </w:t>
      </w:r>
      <w:r w:rsidR="000D046C">
        <w:rPr>
          <w:rFonts w:ascii="Times New Roman" w:hAnsi="Times New Roman" w:cs="Times New Roman"/>
          <w:sz w:val="24"/>
          <w:szCs w:val="24"/>
        </w:rPr>
        <w:t xml:space="preserve">quantidade de multas relatadas </w:t>
      </w:r>
      <w:proofErr w:type="gramStart"/>
      <w:r w:rsidR="000D046C">
        <w:rPr>
          <w:rFonts w:ascii="Times New Roman" w:hAnsi="Times New Roman" w:cs="Times New Roman"/>
          <w:sz w:val="24"/>
          <w:szCs w:val="24"/>
        </w:rPr>
        <w:t>à</w:t>
      </w:r>
      <w:proofErr w:type="gramEnd"/>
      <w:r w:rsidRPr="00897290">
        <w:rPr>
          <w:rFonts w:ascii="Times New Roman" w:hAnsi="Times New Roman" w:cs="Times New Roman"/>
          <w:sz w:val="24"/>
          <w:szCs w:val="24"/>
        </w:rPr>
        <w:t xml:space="preserve"> cada tipo </w:t>
      </w:r>
      <w:r w:rsidR="009E427D">
        <w:rPr>
          <w:rFonts w:ascii="Times New Roman" w:hAnsi="Times New Roman" w:cs="Times New Roman"/>
          <w:sz w:val="24"/>
          <w:szCs w:val="24"/>
        </w:rPr>
        <w:t xml:space="preserve">está disposta no gráfico 02 e </w:t>
      </w:r>
      <w:r w:rsidRPr="00897290">
        <w:rPr>
          <w:rFonts w:ascii="Times New Roman" w:hAnsi="Times New Roman" w:cs="Times New Roman"/>
          <w:sz w:val="24"/>
          <w:szCs w:val="24"/>
        </w:rPr>
        <w:t xml:space="preserve">condiz com os seguintes valores: 577 (54,48%) autuações de Lei Florestal; 156 (14,73%) autuações relacionadas ao IGAM; 115 (10,86%) autuações de recursos da FEAM; </w:t>
      </w:r>
      <w:r w:rsidRPr="00897290">
        <w:rPr>
          <w:rFonts w:ascii="Times New Roman" w:hAnsi="Times New Roman" w:cs="Times New Roman"/>
          <w:sz w:val="24"/>
          <w:szCs w:val="24"/>
        </w:rPr>
        <w:lastRenderedPageBreak/>
        <w:t xml:space="preserve">103 (9,73%) autuações da Lei 7772/80 e DN74; 76 (7,18%) autuações de crimes contra a Fauna; 32 </w:t>
      </w:r>
      <w:r w:rsidR="000D046C">
        <w:rPr>
          <w:rFonts w:ascii="Times New Roman" w:hAnsi="Times New Roman" w:cs="Times New Roman"/>
          <w:sz w:val="24"/>
          <w:szCs w:val="24"/>
        </w:rPr>
        <w:t>(3,02%) autuações relacionadas à</w:t>
      </w:r>
      <w:r w:rsidRPr="00897290">
        <w:rPr>
          <w:rFonts w:ascii="Times New Roman" w:hAnsi="Times New Roman" w:cs="Times New Roman"/>
          <w:sz w:val="24"/>
          <w:szCs w:val="24"/>
        </w:rPr>
        <w:t xml:space="preserve"> Pesca, totalizando as 1059 autuações da região selecionada.</w:t>
      </w:r>
    </w:p>
    <w:p w:rsidR="000D046C" w:rsidRPr="000D046C" w:rsidRDefault="000D046C" w:rsidP="000D046C">
      <w:pPr>
        <w:pStyle w:val="Legenda"/>
        <w:spacing w:after="0"/>
        <w:ind w:firstLine="360"/>
        <w:jc w:val="both"/>
        <w:rPr>
          <w:rFonts w:ascii="Times New Roman" w:hAnsi="Times New Roman" w:cs="Times New Roman"/>
          <w:b w:val="0"/>
          <w:sz w:val="24"/>
          <w:szCs w:val="24"/>
        </w:rPr>
      </w:pPr>
      <w:r w:rsidRPr="000D046C">
        <w:rPr>
          <w:rFonts w:ascii="Times New Roman" w:hAnsi="Times New Roman" w:cs="Times New Roman"/>
          <w:b w:val="0"/>
          <w:color w:val="auto"/>
          <w:sz w:val="24"/>
          <w:szCs w:val="24"/>
        </w:rPr>
        <w:t>Gráfico 02. Autuações em relação ao tipo de multa.</w:t>
      </w:r>
    </w:p>
    <w:p w:rsidR="00897290" w:rsidRDefault="00960811" w:rsidP="000D046C">
      <w:pPr>
        <w:keepNext/>
        <w:spacing w:line="360" w:lineRule="auto"/>
        <w:ind w:firstLine="360"/>
        <w:jc w:val="both"/>
      </w:pPr>
      <w:r>
        <w:rPr>
          <w:noProof/>
        </w:rPr>
        <w:drawing>
          <wp:inline distT="0" distB="0" distL="0" distR="0" wp14:anchorId="3678D9C4" wp14:editId="55470580">
            <wp:extent cx="4994910" cy="1716405"/>
            <wp:effectExtent l="0" t="0" r="15240"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1362" w:rsidRDefault="00960811" w:rsidP="000D046C">
      <w:pPr>
        <w:spacing w:line="360" w:lineRule="auto"/>
        <w:ind w:firstLine="709"/>
        <w:jc w:val="both"/>
        <w:rPr>
          <w:rFonts w:ascii="Times New Roman" w:hAnsi="Times New Roman" w:cs="Times New Roman"/>
          <w:sz w:val="24"/>
          <w:szCs w:val="24"/>
        </w:rPr>
      </w:pPr>
      <w:r w:rsidRPr="00897290">
        <w:rPr>
          <w:rFonts w:ascii="Times New Roman" w:hAnsi="Times New Roman" w:cs="Times New Roman"/>
          <w:sz w:val="24"/>
          <w:szCs w:val="24"/>
        </w:rPr>
        <w:t>Portanto, com base nessa análise é observado que a incidência maior de crimes está relacionada com infrações de origem da Lei Florestal que está relatad</w:t>
      </w:r>
      <w:r w:rsidR="000D046C">
        <w:rPr>
          <w:rFonts w:ascii="Times New Roman" w:hAnsi="Times New Roman" w:cs="Times New Roman"/>
          <w:sz w:val="24"/>
          <w:szCs w:val="24"/>
        </w:rPr>
        <w:t>a na seção II, do capítulo V – dos c</w:t>
      </w:r>
      <w:r w:rsidRPr="00897290">
        <w:rPr>
          <w:rFonts w:ascii="Times New Roman" w:hAnsi="Times New Roman" w:cs="Times New Roman"/>
          <w:sz w:val="24"/>
          <w:szCs w:val="24"/>
        </w:rPr>
        <w:t>rime</w:t>
      </w:r>
      <w:r w:rsidR="000D046C">
        <w:rPr>
          <w:rFonts w:ascii="Times New Roman" w:hAnsi="Times New Roman" w:cs="Times New Roman"/>
          <w:sz w:val="24"/>
          <w:szCs w:val="24"/>
        </w:rPr>
        <w:t>s contra o meio ambiente, da Lei</w:t>
      </w:r>
      <w:r w:rsidRPr="00897290">
        <w:rPr>
          <w:rFonts w:ascii="Times New Roman" w:hAnsi="Times New Roman" w:cs="Times New Roman"/>
          <w:sz w:val="24"/>
          <w:szCs w:val="24"/>
        </w:rPr>
        <w:t xml:space="preserve"> N</w:t>
      </w:r>
      <w:r w:rsidRPr="00897290">
        <w:rPr>
          <w:rFonts w:ascii="Times New Roman" w:hAnsi="Times New Roman" w:cs="Times New Roman"/>
          <w:sz w:val="24"/>
          <w:szCs w:val="24"/>
          <w:vertAlign w:val="superscript"/>
        </w:rPr>
        <w:t>o</w:t>
      </w:r>
      <w:r w:rsidRPr="00897290">
        <w:rPr>
          <w:rStyle w:val="apple-converted-space"/>
          <w:rFonts w:ascii="Times New Roman" w:hAnsi="Times New Roman" w:cs="Times New Roman"/>
          <w:sz w:val="24"/>
          <w:szCs w:val="24"/>
        </w:rPr>
        <w:t> </w:t>
      </w:r>
      <w:r w:rsidR="000D046C">
        <w:rPr>
          <w:rFonts w:ascii="Times New Roman" w:hAnsi="Times New Roman" w:cs="Times New Roman"/>
          <w:sz w:val="24"/>
          <w:szCs w:val="24"/>
        </w:rPr>
        <w:t>9.605, de 12 de fevereiro de 1998 - d</w:t>
      </w:r>
      <w:r w:rsidRPr="00897290">
        <w:rPr>
          <w:rFonts w:ascii="Times New Roman" w:hAnsi="Times New Roman" w:cs="Times New Roman"/>
          <w:sz w:val="24"/>
          <w:szCs w:val="24"/>
        </w:rPr>
        <w:t>ispõe sobre as sanções penais e administrativas derivadas de condutas e atividades lesivas ao me</w:t>
      </w:r>
      <w:r w:rsidR="00897290">
        <w:rPr>
          <w:rFonts w:ascii="Times New Roman" w:hAnsi="Times New Roman" w:cs="Times New Roman"/>
          <w:sz w:val="24"/>
          <w:szCs w:val="24"/>
        </w:rPr>
        <w:t>io ambiente, e da</w:t>
      </w:r>
      <w:r w:rsidR="000D046C">
        <w:rPr>
          <w:rFonts w:ascii="Times New Roman" w:hAnsi="Times New Roman" w:cs="Times New Roman"/>
          <w:sz w:val="24"/>
          <w:szCs w:val="24"/>
        </w:rPr>
        <w:t>s</w:t>
      </w:r>
      <w:r w:rsidR="00897290">
        <w:rPr>
          <w:rFonts w:ascii="Times New Roman" w:hAnsi="Times New Roman" w:cs="Times New Roman"/>
          <w:sz w:val="24"/>
          <w:szCs w:val="24"/>
        </w:rPr>
        <w:t xml:space="preserve"> outras providê</w:t>
      </w:r>
      <w:r w:rsidRPr="00897290">
        <w:rPr>
          <w:rFonts w:ascii="Times New Roman" w:hAnsi="Times New Roman" w:cs="Times New Roman"/>
          <w:sz w:val="24"/>
          <w:szCs w:val="24"/>
        </w:rPr>
        <w:t>ncias e envolve vários aspectos como as queimadas, desmatamento</w:t>
      </w:r>
      <w:r w:rsidR="000D046C">
        <w:rPr>
          <w:rFonts w:ascii="Times New Roman" w:hAnsi="Times New Roman" w:cs="Times New Roman"/>
          <w:sz w:val="24"/>
          <w:szCs w:val="24"/>
        </w:rPr>
        <w:t>s</w:t>
      </w:r>
      <w:r w:rsidRPr="00897290">
        <w:rPr>
          <w:rFonts w:ascii="Times New Roman" w:hAnsi="Times New Roman" w:cs="Times New Roman"/>
          <w:sz w:val="24"/>
          <w:szCs w:val="24"/>
        </w:rPr>
        <w:t xml:space="preserve"> e incêndios em matas nativas, área</w:t>
      </w:r>
      <w:r w:rsidR="000D046C">
        <w:rPr>
          <w:rFonts w:ascii="Times New Roman" w:hAnsi="Times New Roman" w:cs="Times New Roman"/>
          <w:sz w:val="24"/>
          <w:szCs w:val="24"/>
        </w:rPr>
        <w:t>s de preservação e Unidades de C</w:t>
      </w:r>
      <w:r w:rsidRPr="00897290">
        <w:rPr>
          <w:rFonts w:ascii="Times New Roman" w:hAnsi="Times New Roman" w:cs="Times New Roman"/>
          <w:sz w:val="24"/>
          <w:szCs w:val="24"/>
        </w:rPr>
        <w:t>onservação como Reservas Biológicas e Parques Nacionais e Municipais.</w:t>
      </w:r>
    </w:p>
    <w:p w:rsidR="000D046C" w:rsidRPr="000D046C" w:rsidRDefault="000D046C" w:rsidP="000D046C">
      <w:pPr>
        <w:spacing w:line="360" w:lineRule="auto"/>
        <w:ind w:firstLine="709"/>
        <w:jc w:val="both"/>
        <w:rPr>
          <w:rFonts w:ascii="Times New Roman" w:hAnsi="Times New Roman" w:cs="Times New Roman"/>
          <w:sz w:val="24"/>
          <w:szCs w:val="24"/>
        </w:rPr>
      </w:pPr>
    </w:p>
    <w:p w:rsidR="00960811" w:rsidRPr="000D046C" w:rsidRDefault="00897290" w:rsidP="00780D15">
      <w:pPr>
        <w:pStyle w:val="PargrafodaLista"/>
        <w:numPr>
          <w:ilvl w:val="1"/>
          <w:numId w:val="6"/>
        </w:numPr>
        <w:spacing w:line="360" w:lineRule="auto"/>
        <w:jc w:val="both"/>
        <w:rPr>
          <w:rFonts w:ascii="Times New Roman" w:hAnsi="Times New Roman" w:cs="Times New Roman"/>
          <w:sz w:val="24"/>
          <w:szCs w:val="24"/>
        </w:rPr>
      </w:pPr>
      <w:r w:rsidRPr="000D046C">
        <w:rPr>
          <w:rFonts w:ascii="Times New Roman" w:hAnsi="Times New Roman" w:cs="Times New Roman"/>
          <w:sz w:val="24"/>
          <w:szCs w:val="24"/>
        </w:rPr>
        <w:t xml:space="preserve"> </w:t>
      </w:r>
      <w:r w:rsidR="000D046C">
        <w:rPr>
          <w:rFonts w:ascii="Times New Roman" w:hAnsi="Times New Roman" w:cs="Times New Roman"/>
          <w:sz w:val="24"/>
          <w:szCs w:val="24"/>
        </w:rPr>
        <w:t>Quanto aos valores das multas</w:t>
      </w:r>
    </w:p>
    <w:p w:rsidR="00960811" w:rsidRPr="00897290" w:rsidRDefault="000D046C" w:rsidP="000D046C">
      <w:pPr>
        <w:pStyle w:val="NormalWeb"/>
        <w:shd w:val="clear" w:color="auto" w:fill="FFFFFF"/>
        <w:spacing w:before="0" w:beforeAutospacing="0" w:after="0" w:afterAutospacing="0" w:line="360" w:lineRule="auto"/>
        <w:ind w:firstLine="709"/>
        <w:jc w:val="both"/>
        <w:textAlignment w:val="baseline"/>
      </w:pPr>
      <w:r>
        <w:t>A lei de c</w:t>
      </w:r>
      <w:r w:rsidR="00960811" w:rsidRPr="00897290">
        <w:t xml:space="preserve">rimes ambientais estabelece um intervalo de valor das multas ambientais entre os valores de R$ 50,00 (cinquenta reais) e R$ 50.000.000,00 (cinquenta milhões de reais), porém esses valores mínimos e máximos não detalham os critérios para o estabelecimento de uma dosagem dessa multa e o agente </w:t>
      </w:r>
      <w:proofErr w:type="spellStart"/>
      <w:r w:rsidR="00960811" w:rsidRPr="00897290">
        <w:t>autuador</w:t>
      </w:r>
      <w:proofErr w:type="spellEnd"/>
      <w:r w:rsidR="00960811" w:rsidRPr="00897290">
        <w:t xml:space="preserve"> deve se basear em aspectos como a gravidade dos fatos, visando os motivos da infração e as consequências para o meio ambiente; os antecedentes desse infrator e a situação econômica deste.</w:t>
      </w:r>
    </w:p>
    <w:p w:rsidR="00960811" w:rsidRPr="00897290" w:rsidRDefault="00960811" w:rsidP="000D046C">
      <w:pPr>
        <w:pStyle w:val="NormalWeb"/>
        <w:shd w:val="clear" w:color="auto" w:fill="FFFFFF"/>
        <w:spacing w:before="0" w:beforeAutospacing="0" w:after="0" w:afterAutospacing="0" w:line="360" w:lineRule="auto"/>
        <w:ind w:firstLine="709"/>
        <w:jc w:val="both"/>
        <w:textAlignment w:val="baseline"/>
        <w:rPr>
          <w:color w:val="FF0000"/>
        </w:rPr>
      </w:pPr>
      <w:r w:rsidRPr="00897290">
        <w:t xml:space="preserve">Outro ponto </w:t>
      </w:r>
      <w:r w:rsidR="00C50C1F">
        <w:t xml:space="preserve">abordado pela lei é que </w:t>
      </w:r>
      <w:r w:rsidRPr="00897290">
        <w:t>as multas simples podem ser convertidas em serviços de preservação, melhoria e recuperação do meio ambiente e no caso de pagamento em dinheiro, o recurso é convertido para o Fundo Nacional do Meio</w:t>
      </w:r>
      <w:r w:rsidR="000D046C">
        <w:t xml:space="preserve"> Ambiente, Fundo Naval, Fundos E</w:t>
      </w:r>
      <w:r w:rsidRPr="00897290">
        <w:t>stad</w:t>
      </w:r>
      <w:r w:rsidR="000D046C">
        <w:t>uais e M</w:t>
      </w:r>
      <w:r w:rsidRPr="00897290">
        <w:t xml:space="preserve">unicipais e demais órgãos correlacionados, conforme dispuser o órgão arrecadador. </w:t>
      </w:r>
    </w:p>
    <w:p w:rsidR="000D046C" w:rsidRDefault="00960811" w:rsidP="000D046C">
      <w:pPr>
        <w:pStyle w:val="NormalWeb"/>
        <w:shd w:val="clear" w:color="auto" w:fill="FFFFFF"/>
        <w:spacing w:before="0" w:beforeAutospacing="0" w:after="0" w:afterAutospacing="0" w:line="360" w:lineRule="auto"/>
        <w:ind w:firstLine="709"/>
        <w:jc w:val="both"/>
        <w:textAlignment w:val="baseline"/>
      </w:pPr>
      <w:r w:rsidRPr="00897290">
        <w:lastRenderedPageBreak/>
        <w:t>Outro ponto é a possi</w:t>
      </w:r>
      <w:r w:rsidR="000D046C">
        <w:t>bilidade de atenuantes da multa, s</w:t>
      </w:r>
      <w:r w:rsidRPr="00897290">
        <w:t>egundo o</w:t>
      </w:r>
      <w:r w:rsidRPr="00897290">
        <w:rPr>
          <w:color w:val="000000"/>
          <w:shd w:val="clear" w:color="auto" w:fill="FFFFFF"/>
        </w:rPr>
        <w:t xml:space="preserve"> artigo 68 do Decreto 44.844/08, existem alguns casos em que o autuado pode requerer a diminuição d</w:t>
      </w:r>
      <w:r w:rsidR="00C50C1F">
        <w:rPr>
          <w:color w:val="000000"/>
          <w:shd w:val="clear" w:color="auto" w:fill="FFFFFF"/>
        </w:rPr>
        <w:t>o v</w:t>
      </w:r>
      <w:r w:rsidRPr="00897290">
        <w:rPr>
          <w:color w:val="000000"/>
          <w:shd w:val="clear" w:color="auto" w:fill="FFFFFF"/>
        </w:rPr>
        <w:t>alor da multa, desde que comprovado algumas situações. Estas</w:t>
      </w:r>
      <w:r w:rsidR="00C50C1F">
        <w:rPr>
          <w:color w:val="000000"/>
          <w:shd w:val="clear" w:color="auto" w:fill="FFFFFF"/>
        </w:rPr>
        <w:t xml:space="preserve"> situações são:</w:t>
      </w:r>
      <w:r w:rsidRPr="00897290">
        <w:rPr>
          <w:color w:val="000000"/>
          <w:shd w:val="clear" w:color="auto" w:fill="FFFFFF"/>
        </w:rPr>
        <w:t xml:space="preserve"> medidas adotadas pelo infrator de forma qu</w:t>
      </w:r>
      <w:r w:rsidR="00C50C1F">
        <w:rPr>
          <w:color w:val="000000"/>
          <w:shd w:val="clear" w:color="auto" w:fill="FFFFFF"/>
        </w:rPr>
        <w:t>e o dano seja revertido</w:t>
      </w:r>
      <w:r w:rsidRPr="00897290">
        <w:rPr>
          <w:color w:val="000000"/>
          <w:shd w:val="clear" w:color="auto" w:fill="FFFFFF"/>
        </w:rPr>
        <w:t xml:space="preserve"> imediata</w:t>
      </w:r>
      <w:r w:rsidR="00C50C1F">
        <w:rPr>
          <w:color w:val="000000"/>
          <w:shd w:val="clear" w:color="auto" w:fill="FFFFFF"/>
        </w:rPr>
        <w:t>mente</w:t>
      </w:r>
      <w:r w:rsidRPr="00897290">
        <w:rPr>
          <w:color w:val="000000"/>
          <w:shd w:val="clear" w:color="auto" w:fill="FFFFFF"/>
        </w:rPr>
        <w:t xml:space="preserve">, ou que este infrator informe ás autoridades o dano e </w:t>
      </w:r>
      <w:r w:rsidR="00C50C1F">
        <w:rPr>
          <w:color w:val="000000"/>
          <w:shd w:val="clear" w:color="auto" w:fill="FFFFFF"/>
        </w:rPr>
        <w:t>o projeto de recuperação;</w:t>
      </w:r>
      <w:r w:rsidRPr="00897290">
        <w:rPr>
          <w:color w:val="000000"/>
          <w:shd w:val="clear" w:color="auto" w:fill="FFFFFF"/>
        </w:rPr>
        <w:t xml:space="preserve"> tratar-se o infrator de entidade sem fins lucrativos, </w:t>
      </w:r>
      <w:proofErr w:type="spellStart"/>
      <w:r w:rsidRPr="00897290">
        <w:rPr>
          <w:color w:val="000000"/>
          <w:shd w:val="clear" w:color="auto" w:fill="FFFFFF"/>
        </w:rPr>
        <w:t>micro-empresa</w:t>
      </w:r>
      <w:proofErr w:type="spellEnd"/>
      <w:r w:rsidRPr="00897290">
        <w:rPr>
          <w:color w:val="000000"/>
          <w:shd w:val="clear" w:color="auto" w:fill="FFFFFF"/>
        </w:rPr>
        <w:t xml:space="preserve">, </w:t>
      </w:r>
      <w:proofErr w:type="spellStart"/>
      <w:r w:rsidRPr="00897290">
        <w:rPr>
          <w:color w:val="000000"/>
          <w:shd w:val="clear" w:color="auto" w:fill="FFFFFF"/>
        </w:rPr>
        <w:t>micro-produtor</w:t>
      </w:r>
      <w:proofErr w:type="spellEnd"/>
      <w:r w:rsidRPr="00897290">
        <w:rPr>
          <w:color w:val="000000"/>
          <w:shd w:val="clear" w:color="auto" w:fill="FFFFFF"/>
        </w:rPr>
        <w:t xml:space="preserve"> rural ou unidade produtiva em regime de agricultura familiar</w:t>
      </w:r>
      <w:r w:rsidR="00C50C1F">
        <w:t>;</w:t>
      </w:r>
      <w:r w:rsidRPr="00897290">
        <w:t xml:space="preserve"> tratar-se de infração cometida em por produtor rural em propriedade rural que possua reserva legal de</w:t>
      </w:r>
      <w:r w:rsidR="00C50C1F">
        <w:t>vidamente averbada e preservada;</w:t>
      </w:r>
      <w:r w:rsidRPr="00897290">
        <w:t xml:space="preserve"> tratar-se de uso de recursos hídricos para consumo humano e </w:t>
      </w:r>
      <w:proofErr w:type="spellStart"/>
      <w:r w:rsidRPr="00897290">
        <w:t>dessedentação</w:t>
      </w:r>
      <w:proofErr w:type="spellEnd"/>
      <w:r w:rsidRPr="00897290">
        <w:t xml:space="preserve"> de a</w:t>
      </w:r>
      <w:r w:rsidR="00C50C1F">
        <w:t>nimais em pequenas propriedades;</w:t>
      </w:r>
      <w:r w:rsidRPr="00897290">
        <w:t xml:space="preserve"> ocorrer existência de matas ciliares e nascentes preservadas e documentação ambiental devidamente certificada. </w:t>
      </w:r>
    </w:p>
    <w:p w:rsidR="00960811" w:rsidRPr="00897290" w:rsidRDefault="00960811" w:rsidP="000D046C">
      <w:pPr>
        <w:pStyle w:val="NormalWeb"/>
        <w:shd w:val="clear" w:color="auto" w:fill="FFFFFF"/>
        <w:spacing w:before="0" w:beforeAutospacing="0" w:after="0" w:afterAutospacing="0" w:line="360" w:lineRule="auto"/>
        <w:ind w:firstLine="709"/>
        <w:jc w:val="both"/>
        <w:textAlignment w:val="baseline"/>
      </w:pPr>
      <w:r w:rsidRPr="00897290">
        <w:t xml:space="preserve">Esses atenuantes podem reduzir a multa de 15 a 30% do valor total. Outros métodos </w:t>
      </w:r>
      <w:r w:rsidR="00C50C1F">
        <w:t xml:space="preserve">de atenuação das multas </w:t>
      </w:r>
      <w:r w:rsidRPr="00897290">
        <w:t>são os recursos e defesas administrativas que são de total responsabilidade de esclarecimento pelo autuado, sendo que ele pode ser representado por um advogado e os termos preenchidos são entregues para avaliação em órgãos competentes c</w:t>
      </w:r>
      <w:r w:rsidR="000D046C">
        <w:t>omo Superintendências e Órgãos A</w:t>
      </w:r>
      <w:r w:rsidRPr="00897290">
        <w:t>mbientais.</w:t>
      </w:r>
    </w:p>
    <w:p w:rsidR="00960811" w:rsidRPr="00897290" w:rsidRDefault="00960811" w:rsidP="000D046C">
      <w:pPr>
        <w:spacing w:line="360" w:lineRule="auto"/>
        <w:ind w:firstLine="709"/>
        <w:jc w:val="both"/>
        <w:rPr>
          <w:rFonts w:ascii="Times New Roman" w:eastAsia="Times New Roman" w:hAnsi="Times New Roman" w:cs="Times New Roman"/>
          <w:sz w:val="24"/>
          <w:szCs w:val="24"/>
        </w:rPr>
      </w:pPr>
      <w:r w:rsidRPr="00897290">
        <w:rPr>
          <w:rFonts w:ascii="Times New Roman" w:hAnsi="Times New Roman" w:cs="Times New Roman"/>
          <w:sz w:val="24"/>
          <w:szCs w:val="24"/>
        </w:rPr>
        <w:t xml:space="preserve">O problema principal é a inadimplência dessas multas, mesmo correndo riscos de perdas de benefícios, suspensões e cancelamentos de registros, licenças e autorizações, </w:t>
      </w:r>
      <w:r w:rsidRPr="00897290">
        <w:rPr>
          <w:rFonts w:ascii="Times New Roman" w:hAnsi="Times New Roman" w:cs="Times New Roman"/>
          <w:spacing w:val="2"/>
          <w:sz w:val="24"/>
          <w:szCs w:val="24"/>
        </w:rPr>
        <w:t xml:space="preserve">perda ou restrição de incentivos e benefícios fiscais </w:t>
      </w:r>
      <w:r w:rsidR="000D046C">
        <w:rPr>
          <w:rFonts w:ascii="Times New Roman" w:hAnsi="Times New Roman" w:cs="Times New Roman"/>
          <w:spacing w:val="2"/>
          <w:sz w:val="24"/>
          <w:szCs w:val="24"/>
        </w:rPr>
        <w:t>e proibição de contratos com a administração p</w:t>
      </w:r>
      <w:r w:rsidRPr="00897290">
        <w:rPr>
          <w:rFonts w:ascii="Times New Roman" w:hAnsi="Times New Roman" w:cs="Times New Roman"/>
          <w:spacing w:val="2"/>
          <w:sz w:val="24"/>
          <w:szCs w:val="24"/>
        </w:rPr>
        <w:t xml:space="preserve">ública pelo período de até três anos, </w:t>
      </w:r>
      <w:r w:rsidR="000D046C">
        <w:rPr>
          <w:rFonts w:ascii="Times New Roman" w:hAnsi="Times New Roman" w:cs="Times New Roman"/>
          <w:spacing w:val="2"/>
          <w:sz w:val="24"/>
          <w:szCs w:val="24"/>
        </w:rPr>
        <w:t>tal caso ainda é frequente</w:t>
      </w:r>
      <w:r w:rsidRPr="00897290">
        <w:rPr>
          <w:rFonts w:ascii="Times New Roman" w:hAnsi="Times New Roman" w:cs="Times New Roman"/>
          <w:spacing w:val="2"/>
          <w:sz w:val="24"/>
          <w:szCs w:val="24"/>
        </w:rPr>
        <w:t xml:space="preserve">. O total de multas é avaliado em </w:t>
      </w:r>
      <w:r w:rsidRPr="00897290">
        <w:rPr>
          <w:rFonts w:ascii="Times New Roman" w:eastAsia="Times New Roman" w:hAnsi="Times New Roman" w:cs="Times New Roman"/>
          <w:color w:val="000000"/>
          <w:sz w:val="24"/>
          <w:szCs w:val="24"/>
        </w:rPr>
        <w:t xml:space="preserve">R$ 6.211.785,29 (seis milhões, duzentos e onze mil, setecentos e oitenta e cinco reais e vinte e nove centavos), somente na região da zona da mata mineira e esse valor </w:t>
      </w:r>
      <w:r w:rsidR="00C50C1F">
        <w:rPr>
          <w:rFonts w:ascii="Times New Roman" w:eastAsia="Times New Roman" w:hAnsi="Times New Roman" w:cs="Times New Roman"/>
          <w:color w:val="000000"/>
          <w:sz w:val="24"/>
          <w:szCs w:val="24"/>
        </w:rPr>
        <w:t xml:space="preserve">corresponde a </w:t>
      </w:r>
      <w:r w:rsidRPr="00897290">
        <w:rPr>
          <w:rFonts w:ascii="Times New Roman" w:eastAsia="Times New Roman" w:hAnsi="Times New Roman" w:cs="Times New Roman"/>
          <w:color w:val="000000"/>
          <w:sz w:val="24"/>
          <w:szCs w:val="24"/>
        </w:rPr>
        <w:t xml:space="preserve">0,60% do valor estadual de R$ 1.026.527.239,58 (um bilhão, vinte e seis milhões, quinhentos e vinte e sete mil, duzentos e trinta e nove reais e cinquenta e oito centavos), no mesmo período de </w:t>
      </w:r>
      <w:r w:rsidR="00897290">
        <w:rPr>
          <w:rFonts w:ascii="Times New Roman" w:eastAsia="Times New Roman" w:hAnsi="Times New Roman" w:cs="Times New Roman"/>
          <w:color w:val="000000"/>
          <w:sz w:val="24"/>
          <w:szCs w:val="24"/>
        </w:rPr>
        <w:t>0</w:t>
      </w:r>
      <w:r w:rsidR="000D046C">
        <w:rPr>
          <w:rFonts w:ascii="Times New Roman" w:eastAsia="Times New Roman" w:hAnsi="Times New Roman" w:cs="Times New Roman"/>
          <w:sz w:val="24"/>
          <w:szCs w:val="24"/>
        </w:rPr>
        <w:t>1 de Janeiro de 2015 a</w:t>
      </w:r>
      <w:r w:rsidRPr="00897290">
        <w:rPr>
          <w:rFonts w:ascii="Times New Roman" w:eastAsia="Times New Roman" w:hAnsi="Times New Roman" w:cs="Times New Roman"/>
          <w:sz w:val="24"/>
          <w:szCs w:val="24"/>
        </w:rPr>
        <w:t xml:space="preserve"> </w:t>
      </w:r>
      <w:r w:rsidR="00897290">
        <w:rPr>
          <w:rFonts w:ascii="Times New Roman" w:eastAsia="Times New Roman" w:hAnsi="Times New Roman" w:cs="Times New Roman"/>
          <w:sz w:val="24"/>
          <w:szCs w:val="24"/>
        </w:rPr>
        <w:t>0</w:t>
      </w:r>
      <w:r w:rsidRPr="00897290">
        <w:rPr>
          <w:rFonts w:ascii="Times New Roman" w:eastAsia="Times New Roman" w:hAnsi="Times New Roman" w:cs="Times New Roman"/>
          <w:sz w:val="24"/>
          <w:szCs w:val="24"/>
        </w:rPr>
        <w:t>1 de Outubro de 2016.</w:t>
      </w:r>
    </w:p>
    <w:p w:rsidR="00960811" w:rsidRDefault="00960811" w:rsidP="00F64B99">
      <w:pPr>
        <w:spacing w:line="360" w:lineRule="auto"/>
        <w:ind w:firstLine="709"/>
        <w:jc w:val="both"/>
        <w:rPr>
          <w:rFonts w:ascii="Times New Roman" w:eastAsia="Times New Roman" w:hAnsi="Times New Roman" w:cs="Times New Roman"/>
          <w:color w:val="000000"/>
          <w:sz w:val="24"/>
          <w:szCs w:val="24"/>
        </w:rPr>
      </w:pPr>
      <w:r w:rsidRPr="00897290">
        <w:rPr>
          <w:rFonts w:ascii="Times New Roman" w:eastAsia="Times New Roman" w:hAnsi="Times New Roman" w:cs="Times New Roman"/>
          <w:color w:val="000000"/>
          <w:sz w:val="24"/>
          <w:szCs w:val="24"/>
        </w:rPr>
        <w:t xml:space="preserve">Os valores das multas podem ser analisados </w:t>
      </w:r>
      <w:r w:rsidR="009E427D">
        <w:rPr>
          <w:rFonts w:ascii="Times New Roman" w:eastAsia="Times New Roman" w:hAnsi="Times New Roman" w:cs="Times New Roman"/>
          <w:color w:val="000000"/>
          <w:sz w:val="24"/>
          <w:szCs w:val="24"/>
        </w:rPr>
        <w:t xml:space="preserve">no </w:t>
      </w:r>
      <w:proofErr w:type="gramStart"/>
      <w:r w:rsidR="009E427D">
        <w:rPr>
          <w:rFonts w:ascii="Times New Roman" w:eastAsia="Times New Roman" w:hAnsi="Times New Roman" w:cs="Times New Roman"/>
          <w:color w:val="000000"/>
          <w:sz w:val="24"/>
          <w:szCs w:val="24"/>
        </w:rPr>
        <w:t>gráfico 03</w:t>
      </w:r>
      <w:proofErr w:type="gramEnd"/>
      <w:r w:rsidR="009E427D">
        <w:rPr>
          <w:rFonts w:ascii="Times New Roman" w:eastAsia="Times New Roman" w:hAnsi="Times New Roman" w:cs="Times New Roman"/>
          <w:color w:val="000000"/>
          <w:sz w:val="24"/>
          <w:szCs w:val="24"/>
        </w:rPr>
        <w:t>. Q</w:t>
      </w:r>
      <w:r w:rsidR="00F64B99">
        <w:rPr>
          <w:rFonts w:ascii="Times New Roman" w:eastAsia="Times New Roman" w:hAnsi="Times New Roman" w:cs="Times New Roman"/>
          <w:color w:val="000000"/>
          <w:sz w:val="24"/>
          <w:szCs w:val="24"/>
        </w:rPr>
        <w:t>uanto às</w:t>
      </w:r>
      <w:r w:rsidRPr="00897290">
        <w:rPr>
          <w:rFonts w:ascii="Times New Roman" w:eastAsia="Times New Roman" w:hAnsi="Times New Roman" w:cs="Times New Roman"/>
          <w:color w:val="000000"/>
          <w:sz w:val="24"/>
          <w:szCs w:val="24"/>
        </w:rPr>
        <w:t xml:space="preserve"> cara</w:t>
      </w:r>
      <w:r w:rsidR="009E427D">
        <w:rPr>
          <w:rFonts w:ascii="Times New Roman" w:eastAsia="Times New Roman" w:hAnsi="Times New Roman" w:cs="Times New Roman"/>
          <w:color w:val="000000"/>
          <w:sz w:val="24"/>
          <w:szCs w:val="24"/>
        </w:rPr>
        <w:t>cterísticas das multas,</w:t>
      </w:r>
      <w:r w:rsidRPr="00897290">
        <w:rPr>
          <w:rFonts w:ascii="Times New Roman" w:eastAsia="Times New Roman" w:hAnsi="Times New Roman" w:cs="Times New Roman"/>
          <w:color w:val="000000"/>
          <w:sz w:val="24"/>
          <w:szCs w:val="24"/>
        </w:rPr>
        <w:t xml:space="preserve"> </w:t>
      </w:r>
      <w:r w:rsidRPr="00897290">
        <w:rPr>
          <w:rFonts w:ascii="Times New Roman" w:hAnsi="Times New Roman" w:cs="Times New Roman"/>
          <w:sz w:val="24"/>
          <w:szCs w:val="24"/>
        </w:rPr>
        <w:t>as autuações de recursos da FEAM somaram a quantia de</w:t>
      </w:r>
      <w:r w:rsidRPr="00897290">
        <w:rPr>
          <w:rFonts w:ascii="Times New Roman" w:eastAsia="Times New Roman" w:hAnsi="Times New Roman" w:cs="Times New Roman"/>
          <w:color w:val="000000"/>
          <w:sz w:val="24"/>
          <w:szCs w:val="24"/>
        </w:rPr>
        <w:t xml:space="preserve"> R$ 2.117.471,40 (dois milhões, cento e dezessete mil, quatrocentos e setenta e um reais e quarenta centavos) (34,09%); as multas relativas </w:t>
      </w:r>
      <w:r w:rsidR="00F64B99">
        <w:rPr>
          <w:rFonts w:ascii="Times New Roman" w:eastAsia="Times New Roman" w:hAnsi="Times New Roman" w:cs="Times New Roman"/>
          <w:color w:val="000000"/>
          <w:sz w:val="24"/>
          <w:szCs w:val="24"/>
        </w:rPr>
        <w:t>à</w:t>
      </w:r>
      <w:r w:rsidRPr="00897290">
        <w:rPr>
          <w:rFonts w:ascii="Times New Roman" w:eastAsia="Times New Roman" w:hAnsi="Times New Roman" w:cs="Times New Roman"/>
          <w:color w:val="000000"/>
          <w:sz w:val="24"/>
          <w:szCs w:val="24"/>
        </w:rPr>
        <w:t xml:space="preserve"> Lei florestal levantaram R$ 1.964.057,79 (um milhão, novecentos e sessenta e quatro mil, cinquenta e sete reais e setenta e nove centavos) (31,62%);</w:t>
      </w:r>
      <w:r w:rsidRPr="00897290">
        <w:rPr>
          <w:rFonts w:ascii="Times New Roman" w:hAnsi="Times New Roman" w:cs="Times New Roman"/>
          <w:sz w:val="24"/>
          <w:szCs w:val="24"/>
        </w:rPr>
        <w:t xml:space="preserve"> as autuações da Lei 7772/80 e DN74 somaram </w:t>
      </w:r>
      <w:r w:rsidRPr="00897290">
        <w:rPr>
          <w:rFonts w:ascii="Times New Roman" w:eastAsia="Times New Roman" w:hAnsi="Times New Roman" w:cs="Times New Roman"/>
          <w:color w:val="000000"/>
          <w:sz w:val="24"/>
          <w:szCs w:val="24"/>
        </w:rPr>
        <w:t xml:space="preserve">R$ 1.189.895,67 (um milhão, sento e oitenta e nove mil oitocentos e noventa e cinco reais e sessenta e sete centavos) (19,15%); </w:t>
      </w:r>
      <w:r w:rsidRPr="00897290">
        <w:rPr>
          <w:rFonts w:ascii="Times New Roman" w:hAnsi="Times New Roman" w:cs="Times New Roman"/>
          <w:sz w:val="24"/>
          <w:szCs w:val="24"/>
        </w:rPr>
        <w:t>as autuações relacionadas ao IGAM somaram</w:t>
      </w:r>
      <w:r w:rsidRPr="00897290">
        <w:rPr>
          <w:rFonts w:ascii="Times New Roman" w:eastAsia="Times New Roman" w:hAnsi="Times New Roman" w:cs="Times New Roman"/>
          <w:color w:val="000000"/>
          <w:sz w:val="24"/>
          <w:szCs w:val="24"/>
        </w:rPr>
        <w:t xml:space="preserve"> R$ 546.995,55 (quinhentos e quarenta e seis mil novecentos </w:t>
      </w:r>
      <w:r w:rsidRPr="00897290">
        <w:rPr>
          <w:rFonts w:ascii="Times New Roman" w:eastAsia="Times New Roman" w:hAnsi="Times New Roman" w:cs="Times New Roman"/>
          <w:color w:val="000000"/>
          <w:sz w:val="24"/>
          <w:szCs w:val="24"/>
        </w:rPr>
        <w:lastRenderedPageBreak/>
        <w:t>e noventa e cinco reais e cinquenta e cinco centavos) (8,81%)</w:t>
      </w:r>
      <w:r w:rsidRPr="00897290">
        <w:rPr>
          <w:rFonts w:ascii="Times New Roman" w:hAnsi="Times New Roman" w:cs="Times New Roman"/>
          <w:sz w:val="24"/>
          <w:szCs w:val="24"/>
        </w:rPr>
        <w:t>; as multas de crimes contra a Fauna resultaram em</w:t>
      </w:r>
      <w:r w:rsidRPr="00897290">
        <w:rPr>
          <w:rFonts w:ascii="Times New Roman" w:eastAsia="Times New Roman" w:hAnsi="Times New Roman" w:cs="Times New Roman"/>
          <w:color w:val="000000"/>
          <w:sz w:val="24"/>
          <w:szCs w:val="24"/>
        </w:rPr>
        <w:t xml:space="preserve"> R$ 325.978,51 (trezentos e vinte e cinco mil, novecentos e setenta e oito reais e cinquenta e um centavos) (5,25%); </w:t>
      </w:r>
      <w:r w:rsidR="00F64B99">
        <w:rPr>
          <w:rFonts w:ascii="Times New Roman" w:hAnsi="Times New Roman" w:cs="Times New Roman"/>
          <w:sz w:val="24"/>
          <w:szCs w:val="24"/>
        </w:rPr>
        <w:t>as autuações relacionadas à</w:t>
      </w:r>
      <w:r w:rsidRPr="00897290">
        <w:rPr>
          <w:rFonts w:ascii="Times New Roman" w:hAnsi="Times New Roman" w:cs="Times New Roman"/>
          <w:sz w:val="24"/>
          <w:szCs w:val="24"/>
        </w:rPr>
        <w:t xml:space="preserve"> Pesca, totalizando </w:t>
      </w:r>
      <w:r w:rsidRPr="00897290">
        <w:rPr>
          <w:rFonts w:ascii="Times New Roman" w:eastAsia="Times New Roman" w:hAnsi="Times New Roman" w:cs="Times New Roman"/>
          <w:color w:val="000000"/>
          <w:sz w:val="24"/>
          <w:szCs w:val="24"/>
        </w:rPr>
        <w:t>R$ 67.386,37 (sessenta e sete mil trezentos e oitenta e seis reais e trinta e sete reais) (1,08%).</w:t>
      </w:r>
    </w:p>
    <w:p w:rsidR="00F64B99" w:rsidRPr="00F64B99" w:rsidRDefault="00F64B99" w:rsidP="00F64B99">
      <w:pPr>
        <w:spacing w:after="0" w:line="240" w:lineRule="auto"/>
        <w:jc w:val="both"/>
        <w:rPr>
          <w:rFonts w:ascii="Times New Roman" w:eastAsia="Times New Roman" w:hAnsi="Times New Roman" w:cs="Times New Roman"/>
          <w:color w:val="000000"/>
          <w:sz w:val="24"/>
          <w:szCs w:val="24"/>
        </w:rPr>
      </w:pPr>
      <w:r w:rsidRPr="00F64B99">
        <w:rPr>
          <w:rFonts w:ascii="Times New Roman" w:eastAsia="Times New Roman" w:hAnsi="Times New Roman" w:cs="Times New Roman"/>
          <w:color w:val="000000"/>
          <w:sz w:val="24"/>
          <w:szCs w:val="24"/>
        </w:rPr>
        <w:t xml:space="preserve">Gráfico 03. </w:t>
      </w:r>
      <w:r w:rsidRPr="00F64B99">
        <w:rPr>
          <w:rFonts w:ascii="Times New Roman" w:hAnsi="Times New Roman" w:cs="Times New Roman"/>
          <w:sz w:val="24"/>
          <w:szCs w:val="24"/>
        </w:rPr>
        <w:t>Autuações ambientais em relação aos valores das multas em Reais.</w:t>
      </w:r>
    </w:p>
    <w:p w:rsidR="00897290" w:rsidRDefault="00960811" w:rsidP="00A278B6">
      <w:pPr>
        <w:keepNext/>
        <w:spacing w:line="360" w:lineRule="auto"/>
        <w:jc w:val="center"/>
      </w:pPr>
      <w:r>
        <w:rPr>
          <w:noProof/>
        </w:rPr>
        <w:drawing>
          <wp:inline distT="0" distB="0" distL="0" distR="0" wp14:anchorId="1FFEA9DA" wp14:editId="07C6DBA7">
            <wp:extent cx="5952490" cy="3096895"/>
            <wp:effectExtent l="0" t="0" r="0" b="825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0811" w:rsidRPr="002F7577" w:rsidRDefault="00960811" w:rsidP="00960811">
      <w:pPr>
        <w:spacing w:line="36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ab/>
      </w:r>
      <w:r w:rsidRPr="002F7577">
        <w:rPr>
          <w:rFonts w:ascii="Times New Roman" w:eastAsia="Times New Roman" w:hAnsi="Times New Roman" w:cs="Times New Roman"/>
          <w:color w:val="000000"/>
          <w:sz w:val="24"/>
          <w:szCs w:val="24"/>
        </w:rPr>
        <w:t>Outro ponto a ser abordado é a análise da arrecadação de multas em relação aos autuados</w:t>
      </w:r>
      <w:r w:rsidR="009E427D" w:rsidRPr="002F7577">
        <w:rPr>
          <w:rFonts w:ascii="Times New Roman" w:eastAsia="Times New Roman" w:hAnsi="Times New Roman" w:cs="Times New Roman"/>
          <w:color w:val="000000"/>
          <w:sz w:val="24"/>
          <w:szCs w:val="24"/>
        </w:rPr>
        <w:t xml:space="preserve">, disposta no </w:t>
      </w:r>
      <w:proofErr w:type="gramStart"/>
      <w:r w:rsidR="009E427D" w:rsidRPr="002F7577">
        <w:rPr>
          <w:rFonts w:ascii="Times New Roman" w:eastAsia="Times New Roman" w:hAnsi="Times New Roman" w:cs="Times New Roman"/>
          <w:color w:val="000000"/>
          <w:sz w:val="24"/>
          <w:szCs w:val="24"/>
        </w:rPr>
        <w:t>gráfico 04</w:t>
      </w:r>
      <w:proofErr w:type="gramEnd"/>
      <w:r w:rsidRPr="002F7577">
        <w:rPr>
          <w:rFonts w:ascii="Times New Roman" w:eastAsia="Times New Roman" w:hAnsi="Times New Roman" w:cs="Times New Roman"/>
          <w:color w:val="000000"/>
          <w:sz w:val="24"/>
          <w:szCs w:val="24"/>
        </w:rPr>
        <w:t>. As multas de pessoas físicas somam a quantia de R$ 3.344.632,81 (três milhões, trezentos e quarenta e quatro mil, seiscentos e trinta e dois reais e oitenta e um reais) (53,84%); As multas de empresas somaram R$ 2.412.702,01 (dois milhões, quatrocentos e doze mil setecentos e dois reais e um centavo) (38.84%); e os órgãos públicos somaram R$ 454.450,47 (quatrocentos e cinquenta e quatro mil, quatrocentos e cinquenta reais e quarenta e sete centavos) (7,32%).</w:t>
      </w:r>
    </w:p>
    <w:p w:rsidR="009E427D" w:rsidRPr="00F64B99" w:rsidRDefault="00F64B99" w:rsidP="00F64B99">
      <w:pPr>
        <w:pStyle w:val="Legenda"/>
        <w:keepNext/>
        <w:spacing w:after="0"/>
        <w:jc w:val="both"/>
        <w:rPr>
          <w:rFonts w:ascii="Times New Roman" w:hAnsi="Times New Roman" w:cs="Times New Roman"/>
          <w:b w:val="0"/>
          <w:color w:val="auto"/>
          <w:sz w:val="24"/>
          <w:szCs w:val="24"/>
        </w:rPr>
      </w:pPr>
      <w:r w:rsidRPr="00F64B99">
        <w:rPr>
          <w:rFonts w:ascii="Times New Roman" w:hAnsi="Times New Roman" w:cs="Times New Roman"/>
          <w:b w:val="0"/>
          <w:color w:val="auto"/>
          <w:sz w:val="24"/>
          <w:szCs w:val="24"/>
        </w:rPr>
        <w:lastRenderedPageBreak/>
        <w:t>Gráfico 04. Valores de arrecadação em relação ás características dos autuados.</w:t>
      </w:r>
    </w:p>
    <w:p w:rsidR="009E427D" w:rsidRDefault="00960811" w:rsidP="00F64B99">
      <w:pPr>
        <w:keepNext/>
        <w:spacing w:line="360" w:lineRule="auto"/>
      </w:pPr>
      <w:r>
        <w:rPr>
          <w:noProof/>
        </w:rPr>
        <w:drawing>
          <wp:inline distT="0" distB="0" distL="0" distR="0" wp14:anchorId="64D68A2E" wp14:editId="15800591">
            <wp:extent cx="5038090" cy="1975485"/>
            <wp:effectExtent l="0" t="0" r="10160" b="247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0811" w:rsidRPr="00F64B99" w:rsidRDefault="00960811" w:rsidP="00780D15">
      <w:pPr>
        <w:pStyle w:val="PargrafodaLista"/>
        <w:numPr>
          <w:ilvl w:val="1"/>
          <w:numId w:val="6"/>
        </w:numPr>
        <w:spacing w:line="360" w:lineRule="auto"/>
        <w:jc w:val="both"/>
        <w:rPr>
          <w:rFonts w:ascii="Times New Roman" w:hAnsi="Times New Roman" w:cs="Times New Roman"/>
          <w:sz w:val="24"/>
          <w:szCs w:val="24"/>
        </w:rPr>
      </w:pPr>
      <w:r w:rsidRPr="00F64B99">
        <w:rPr>
          <w:rFonts w:ascii="Times New Roman" w:hAnsi="Times New Roman" w:cs="Times New Roman"/>
          <w:sz w:val="24"/>
          <w:szCs w:val="24"/>
        </w:rPr>
        <w:t xml:space="preserve">Quanto </w:t>
      </w:r>
      <w:r w:rsidR="00F64B99" w:rsidRPr="00F64B99">
        <w:rPr>
          <w:rFonts w:ascii="Times New Roman" w:hAnsi="Times New Roman" w:cs="Times New Roman"/>
          <w:sz w:val="24"/>
          <w:szCs w:val="24"/>
        </w:rPr>
        <w:t>á situação dos imóveis autuados</w:t>
      </w:r>
    </w:p>
    <w:p w:rsidR="00201362" w:rsidRPr="009E427D" w:rsidRDefault="00960811" w:rsidP="00F64B99">
      <w:pPr>
        <w:spacing w:line="360" w:lineRule="auto"/>
        <w:ind w:firstLine="709"/>
        <w:jc w:val="both"/>
        <w:rPr>
          <w:rFonts w:ascii="Times New Roman" w:hAnsi="Times New Roman" w:cs="Times New Roman"/>
          <w:color w:val="000000"/>
          <w:sz w:val="24"/>
          <w:szCs w:val="24"/>
        </w:rPr>
      </w:pPr>
      <w:r w:rsidRPr="009E427D">
        <w:rPr>
          <w:rFonts w:ascii="Times New Roman" w:hAnsi="Times New Roman" w:cs="Times New Roman"/>
          <w:sz w:val="24"/>
          <w:szCs w:val="24"/>
        </w:rPr>
        <w:t>Os i</w:t>
      </w:r>
      <w:r w:rsidR="00F64B99">
        <w:rPr>
          <w:rFonts w:ascii="Times New Roman" w:hAnsi="Times New Roman" w:cs="Times New Roman"/>
          <w:sz w:val="24"/>
          <w:szCs w:val="24"/>
        </w:rPr>
        <w:t xml:space="preserve">móveis autuados são destinados </w:t>
      </w:r>
      <w:proofErr w:type="gramStart"/>
      <w:r w:rsidR="00F64B99">
        <w:rPr>
          <w:rFonts w:ascii="Times New Roman" w:hAnsi="Times New Roman" w:cs="Times New Roman"/>
          <w:sz w:val="24"/>
          <w:szCs w:val="24"/>
        </w:rPr>
        <w:t>à</w:t>
      </w:r>
      <w:proofErr w:type="gramEnd"/>
      <w:r w:rsidRPr="009E427D">
        <w:rPr>
          <w:rFonts w:ascii="Times New Roman" w:hAnsi="Times New Roman" w:cs="Times New Roman"/>
          <w:sz w:val="24"/>
          <w:szCs w:val="24"/>
        </w:rPr>
        <w:t xml:space="preserve"> penalidades que compreendem </w:t>
      </w:r>
      <w:r w:rsidRPr="009E427D">
        <w:rPr>
          <w:rFonts w:ascii="Times New Roman" w:hAnsi="Times New Roman" w:cs="Times New Roman"/>
          <w:color w:val="000000"/>
          <w:sz w:val="24"/>
          <w:szCs w:val="24"/>
        </w:rPr>
        <w:t>advertência, multa simples, multa diária, suspensão total ou parcial das atividades, embargo da atividade ou obra, apreensão, demolição da obra, destruição o</w:t>
      </w:r>
      <w:r w:rsidR="00920455">
        <w:rPr>
          <w:rFonts w:ascii="Times New Roman" w:hAnsi="Times New Roman" w:cs="Times New Roman"/>
          <w:color w:val="000000"/>
          <w:sz w:val="24"/>
          <w:szCs w:val="24"/>
        </w:rPr>
        <w:t>u</w:t>
      </w:r>
      <w:r w:rsidRPr="009E427D">
        <w:rPr>
          <w:rFonts w:ascii="Times New Roman" w:hAnsi="Times New Roman" w:cs="Times New Roman"/>
          <w:color w:val="000000"/>
          <w:sz w:val="24"/>
          <w:szCs w:val="24"/>
        </w:rPr>
        <w:t xml:space="preserve"> inutilização do produto, suspensão da venda ou fabricação do produto ou restrição de dir</w:t>
      </w:r>
      <w:r w:rsidR="009E427D">
        <w:rPr>
          <w:rFonts w:ascii="Times New Roman" w:hAnsi="Times New Roman" w:cs="Times New Roman"/>
          <w:color w:val="000000"/>
          <w:sz w:val="24"/>
          <w:szCs w:val="24"/>
        </w:rPr>
        <w:t>eitos. A contabilidade total</w:t>
      </w:r>
      <w:r w:rsidRPr="009E427D">
        <w:rPr>
          <w:rFonts w:ascii="Times New Roman" w:hAnsi="Times New Roman" w:cs="Times New Roman"/>
          <w:color w:val="000000"/>
          <w:sz w:val="24"/>
          <w:szCs w:val="24"/>
        </w:rPr>
        <w:t xml:space="preserve"> dessas penalidades é de 2034</w:t>
      </w:r>
      <w:r w:rsidR="002F7577">
        <w:rPr>
          <w:rFonts w:ascii="Times New Roman" w:hAnsi="Times New Roman" w:cs="Times New Roman"/>
          <w:color w:val="000000"/>
          <w:sz w:val="24"/>
          <w:szCs w:val="24"/>
        </w:rPr>
        <w:t>, valor maior que o número de multas, pois uma mesma autuação pode sofrer mais de uma penalidade, e está evidenciada</w:t>
      </w:r>
      <w:r w:rsidRPr="009E427D">
        <w:rPr>
          <w:rFonts w:ascii="Times New Roman" w:hAnsi="Times New Roman" w:cs="Times New Roman"/>
          <w:color w:val="000000"/>
          <w:sz w:val="24"/>
          <w:szCs w:val="24"/>
        </w:rPr>
        <w:t xml:space="preserve"> pelo </w:t>
      </w:r>
      <w:proofErr w:type="gramStart"/>
      <w:r w:rsidRPr="009E427D">
        <w:rPr>
          <w:rFonts w:ascii="Times New Roman" w:hAnsi="Times New Roman" w:cs="Times New Roman"/>
          <w:color w:val="000000"/>
          <w:sz w:val="24"/>
          <w:szCs w:val="24"/>
        </w:rPr>
        <w:t>gráfico</w:t>
      </w:r>
      <w:r w:rsidR="009E427D">
        <w:rPr>
          <w:rFonts w:ascii="Times New Roman" w:hAnsi="Times New Roman" w:cs="Times New Roman"/>
          <w:color w:val="000000"/>
          <w:sz w:val="24"/>
          <w:szCs w:val="24"/>
        </w:rPr>
        <w:t xml:space="preserve"> 05</w:t>
      </w:r>
      <w:proofErr w:type="gramEnd"/>
      <w:r w:rsidR="00F64B99">
        <w:rPr>
          <w:rFonts w:ascii="Times New Roman" w:hAnsi="Times New Roman" w:cs="Times New Roman"/>
          <w:color w:val="000000"/>
          <w:sz w:val="24"/>
          <w:szCs w:val="24"/>
        </w:rPr>
        <w:t>.</w:t>
      </w:r>
    </w:p>
    <w:p w:rsidR="009E427D" w:rsidRPr="00F64B99" w:rsidRDefault="00F64B99" w:rsidP="00F64B99">
      <w:pPr>
        <w:pStyle w:val="Legenda"/>
        <w:spacing w:after="0"/>
        <w:jc w:val="both"/>
        <w:rPr>
          <w:rFonts w:ascii="Times New Roman" w:hAnsi="Times New Roman" w:cs="Times New Roman"/>
          <w:b w:val="0"/>
          <w:color w:val="auto"/>
          <w:sz w:val="24"/>
          <w:szCs w:val="24"/>
        </w:rPr>
      </w:pPr>
      <w:r w:rsidRPr="00F64B99">
        <w:rPr>
          <w:rFonts w:ascii="Times New Roman" w:hAnsi="Times New Roman" w:cs="Times New Roman"/>
          <w:b w:val="0"/>
          <w:color w:val="auto"/>
          <w:sz w:val="24"/>
          <w:szCs w:val="24"/>
        </w:rPr>
        <w:t>Gráfico 05. Autuações ambientais e situação em que se encontram.</w:t>
      </w:r>
    </w:p>
    <w:p w:rsidR="009E427D" w:rsidRDefault="00960811" w:rsidP="00F64B99">
      <w:pPr>
        <w:keepNext/>
        <w:spacing w:line="360" w:lineRule="auto"/>
      </w:pPr>
      <w:r>
        <w:rPr>
          <w:noProof/>
        </w:rPr>
        <w:drawing>
          <wp:inline distT="0" distB="0" distL="0" distR="0" wp14:anchorId="26E45812" wp14:editId="21137731">
            <wp:extent cx="5175885" cy="2743200"/>
            <wp:effectExtent l="0" t="0" r="24765"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0811" w:rsidRPr="009E427D" w:rsidRDefault="00960811" w:rsidP="00960811">
      <w:pPr>
        <w:spacing w:line="360" w:lineRule="auto"/>
        <w:jc w:val="both"/>
        <w:rPr>
          <w:rFonts w:ascii="Times New Roman" w:hAnsi="Times New Roman" w:cs="Times New Roman"/>
          <w:sz w:val="24"/>
          <w:szCs w:val="24"/>
        </w:rPr>
      </w:pPr>
      <w:r>
        <w:rPr>
          <w:rFonts w:ascii="Arial" w:hAnsi="Arial" w:cs="Arial"/>
          <w:sz w:val="24"/>
          <w:szCs w:val="24"/>
        </w:rPr>
        <w:tab/>
      </w:r>
      <w:r w:rsidRPr="009E427D">
        <w:rPr>
          <w:rFonts w:ascii="Times New Roman" w:hAnsi="Times New Roman" w:cs="Times New Roman"/>
          <w:sz w:val="24"/>
          <w:szCs w:val="24"/>
        </w:rPr>
        <w:t xml:space="preserve">Foi observada como grande maioria a quantidade de 975 (47,94%) penalidades </w:t>
      </w:r>
      <w:r w:rsidR="00441D2A">
        <w:rPr>
          <w:rFonts w:ascii="Times New Roman" w:hAnsi="Times New Roman" w:cs="Times New Roman"/>
          <w:sz w:val="24"/>
          <w:szCs w:val="24"/>
        </w:rPr>
        <w:t xml:space="preserve">que </w:t>
      </w:r>
      <w:r w:rsidRPr="009E427D">
        <w:rPr>
          <w:rFonts w:ascii="Times New Roman" w:hAnsi="Times New Roman" w:cs="Times New Roman"/>
          <w:sz w:val="24"/>
          <w:szCs w:val="24"/>
        </w:rPr>
        <w:t xml:space="preserve">foram denominadas multas simples; 545 (26,79%) penalidades compreenderam suspensão total das atividades; 174 (8,55%) penalidades condisseram com apreensão de mercadoria; 142 (6,98%) penalidades resultaram o embargo da atividade; 110 (5,41%) penalidades foram </w:t>
      </w:r>
      <w:r w:rsidRPr="009E427D">
        <w:rPr>
          <w:rFonts w:ascii="Times New Roman" w:hAnsi="Times New Roman" w:cs="Times New Roman"/>
          <w:sz w:val="24"/>
          <w:szCs w:val="24"/>
        </w:rPr>
        <w:lastRenderedPageBreak/>
        <w:t>advertências; 51(2,51%) resultaram na demolição da</w:t>
      </w:r>
      <w:r w:rsidR="00441D2A">
        <w:rPr>
          <w:rFonts w:ascii="Times New Roman" w:hAnsi="Times New Roman" w:cs="Times New Roman"/>
          <w:sz w:val="24"/>
          <w:szCs w:val="24"/>
        </w:rPr>
        <w:t>s</w:t>
      </w:r>
      <w:r w:rsidRPr="009E427D">
        <w:rPr>
          <w:rFonts w:ascii="Times New Roman" w:hAnsi="Times New Roman" w:cs="Times New Roman"/>
          <w:sz w:val="24"/>
          <w:szCs w:val="24"/>
        </w:rPr>
        <w:t xml:space="preserve"> obra</w:t>
      </w:r>
      <w:r w:rsidR="00441D2A">
        <w:rPr>
          <w:rFonts w:ascii="Times New Roman" w:hAnsi="Times New Roman" w:cs="Times New Roman"/>
          <w:sz w:val="24"/>
          <w:szCs w:val="24"/>
        </w:rPr>
        <w:t>s</w:t>
      </w:r>
      <w:r w:rsidRPr="009E427D">
        <w:rPr>
          <w:rFonts w:ascii="Times New Roman" w:hAnsi="Times New Roman" w:cs="Times New Roman"/>
          <w:sz w:val="24"/>
          <w:szCs w:val="24"/>
        </w:rPr>
        <w:t xml:space="preserve">; 25 (1,23%) penalidades foram restrições de direitos de empreendimentos; </w:t>
      </w:r>
      <w:proofErr w:type="gramStart"/>
      <w:r w:rsidRPr="009E427D">
        <w:rPr>
          <w:rFonts w:ascii="Times New Roman" w:hAnsi="Times New Roman" w:cs="Times New Roman"/>
          <w:sz w:val="24"/>
          <w:szCs w:val="24"/>
        </w:rPr>
        <w:t>9</w:t>
      </w:r>
      <w:proofErr w:type="gramEnd"/>
      <w:r w:rsidRPr="009E427D">
        <w:rPr>
          <w:rFonts w:ascii="Times New Roman" w:hAnsi="Times New Roman" w:cs="Times New Roman"/>
          <w:sz w:val="24"/>
          <w:szCs w:val="24"/>
        </w:rPr>
        <w:t xml:space="preserve"> (0,44%) penalidades resultaram o embargo da obra; 3 (0,15%) penalidades são multas diárias e as penalidades de suspensões parciais de fabricação e venda de mercadorias não foram relatadas neste período analisado.</w:t>
      </w:r>
    </w:p>
    <w:p w:rsidR="00960811" w:rsidRPr="00441D2A" w:rsidRDefault="008F0953" w:rsidP="00780D15">
      <w:pPr>
        <w:pStyle w:val="PargrafodaLista"/>
        <w:numPr>
          <w:ilvl w:val="1"/>
          <w:numId w:val="6"/>
        </w:numPr>
        <w:spacing w:line="360" w:lineRule="auto"/>
        <w:jc w:val="both"/>
        <w:rPr>
          <w:rFonts w:ascii="Times New Roman" w:hAnsi="Times New Roman" w:cs="Times New Roman"/>
          <w:sz w:val="24"/>
          <w:szCs w:val="24"/>
        </w:rPr>
      </w:pPr>
      <w:r w:rsidRPr="00441D2A">
        <w:rPr>
          <w:rFonts w:ascii="Times New Roman" w:hAnsi="Times New Roman" w:cs="Times New Roman"/>
          <w:sz w:val="24"/>
          <w:szCs w:val="24"/>
        </w:rPr>
        <w:t xml:space="preserve"> </w:t>
      </w:r>
      <w:r w:rsidR="00441D2A">
        <w:rPr>
          <w:rFonts w:ascii="Times New Roman" w:hAnsi="Times New Roman" w:cs="Times New Roman"/>
          <w:sz w:val="24"/>
          <w:szCs w:val="24"/>
        </w:rPr>
        <w:t>Quanto à</w:t>
      </w:r>
      <w:r w:rsidR="008A0C75" w:rsidRPr="00441D2A">
        <w:rPr>
          <w:rFonts w:ascii="Times New Roman" w:hAnsi="Times New Roman" w:cs="Times New Roman"/>
          <w:sz w:val="24"/>
          <w:szCs w:val="24"/>
        </w:rPr>
        <w:t>s autuações</w:t>
      </w:r>
      <w:r w:rsidR="00960811" w:rsidRPr="00441D2A">
        <w:rPr>
          <w:rFonts w:ascii="Times New Roman" w:hAnsi="Times New Roman" w:cs="Times New Roman"/>
          <w:sz w:val="24"/>
          <w:szCs w:val="24"/>
        </w:rPr>
        <w:t xml:space="preserve"> ambientais e as</w:t>
      </w:r>
      <w:r w:rsidR="00441D2A" w:rsidRPr="00441D2A">
        <w:rPr>
          <w:rFonts w:ascii="Times New Roman" w:hAnsi="Times New Roman" w:cs="Times New Roman"/>
          <w:sz w:val="24"/>
          <w:szCs w:val="24"/>
        </w:rPr>
        <w:t xml:space="preserve"> estações meteorológicas do ano</w:t>
      </w:r>
    </w:p>
    <w:p w:rsidR="00960811" w:rsidRDefault="00960811" w:rsidP="00441D2A">
      <w:pPr>
        <w:spacing w:line="360" w:lineRule="auto"/>
        <w:ind w:firstLine="709"/>
        <w:jc w:val="both"/>
        <w:rPr>
          <w:rFonts w:ascii="Arial" w:hAnsi="Arial" w:cs="Arial"/>
          <w:sz w:val="24"/>
          <w:szCs w:val="24"/>
        </w:rPr>
      </w:pPr>
      <w:r w:rsidRPr="008F0953">
        <w:rPr>
          <w:rFonts w:ascii="Times New Roman" w:hAnsi="Times New Roman" w:cs="Times New Roman"/>
          <w:sz w:val="24"/>
          <w:szCs w:val="24"/>
        </w:rPr>
        <w:t>A análise deste aspecto é importante quando observamos que a principal autuação ambiental esta relacionada com crimes da flora (Lei Florestal). Fo</w:t>
      </w:r>
      <w:r w:rsidR="002F7577">
        <w:rPr>
          <w:rFonts w:ascii="Times New Roman" w:hAnsi="Times New Roman" w:cs="Times New Roman"/>
          <w:sz w:val="24"/>
          <w:szCs w:val="24"/>
        </w:rPr>
        <w:t xml:space="preserve">ram divididos os períodos </w:t>
      </w:r>
      <w:r w:rsidRPr="008F0953">
        <w:rPr>
          <w:rFonts w:ascii="Times New Roman" w:hAnsi="Times New Roman" w:cs="Times New Roman"/>
          <w:sz w:val="24"/>
          <w:szCs w:val="24"/>
        </w:rPr>
        <w:t>de acordo com a</w:t>
      </w:r>
      <w:r w:rsidR="002F7577">
        <w:rPr>
          <w:rFonts w:ascii="Times New Roman" w:hAnsi="Times New Roman" w:cs="Times New Roman"/>
          <w:sz w:val="24"/>
          <w:szCs w:val="24"/>
        </w:rPr>
        <w:t>s estações meteorológicas do ano</w:t>
      </w:r>
      <w:r w:rsidRPr="008F0953">
        <w:rPr>
          <w:rFonts w:ascii="Times New Roman" w:hAnsi="Times New Roman" w:cs="Times New Roman"/>
          <w:sz w:val="24"/>
          <w:szCs w:val="24"/>
        </w:rPr>
        <w:t xml:space="preserve">. De 01 de janeiro até 28 de Fevereiro de 2015 se enquadrou no primeiro Verão; de 01 de Março até 31 de Maio de 2015 se enquadrou </w:t>
      </w:r>
      <w:r w:rsidR="00441D2A">
        <w:rPr>
          <w:rFonts w:ascii="Times New Roman" w:hAnsi="Times New Roman" w:cs="Times New Roman"/>
          <w:sz w:val="24"/>
          <w:szCs w:val="24"/>
        </w:rPr>
        <w:t>n</w:t>
      </w:r>
      <w:r w:rsidRPr="008F0953">
        <w:rPr>
          <w:rFonts w:ascii="Times New Roman" w:hAnsi="Times New Roman" w:cs="Times New Roman"/>
          <w:sz w:val="24"/>
          <w:szCs w:val="24"/>
        </w:rPr>
        <w:t>o primeiro Outono; de 01 de Junho até 31 de Agosto</w:t>
      </w:r>
      <w:r w:rsidR="00441D2A">
        <w:rPr>
          <w:rFonts w:ascii="Times New Roman" w:hAnsi="Times New Roman" w:cs="Times New Roman"/>
          <w:sz w:val="24"/>
          <w:szCs w:val="24"/>
        </w:rPr>
        <w:t xml:space="preserve"> de 2015</w:t>
      </w:r>
      <w:r w:rsidRPr="008F0953">
        <w:rPr>
          <w:rFonts w:ascii="Times New Roman" w:hAnsi="Times New Roman" w:cs="Times New Roman"/>
          <w:sz w:val="24"/>
          <w:szCs w:val="24"/>
        </w:rPr>
        <w:t xml:space="preserve"> se enquadrou </w:t>
      </w:r>
      <w:r w:rsidR="00441D2A">
        <w:rPr>
          <w:rFonts w:ascii="Times New Roman" w:hAnsi="Times New Roman" w:cs="Times New Roman"/>
          <w:sz w:val="24"/>
          <w:szCs w:val="24"/>
        </w:rPr>
        <w:t>n</w:t>
      </w:r>
      <w:r w:rsidRPr="008F0953">
        <w:rPr>
          <w:rFonts w:ascii="Times New Roman" w:hAnsi="Times New Roman" w:cs="Times New Roman"/>
          <w:sz w:val="24"/>
          <w:szCs w:val="24"/>
        </w:rPr>
        <w:t>o primeiro Inverno; de 01 de Setembro a 30 de Novembro</w:t>
      </w:r>
      <w:r w:rsidR="00441D2A">
        <w:rPr>
          <w:rFonts w:ascii="Times New Roman" w:hAnsi="Times New Roman" w:cs="Times New Roman"/>
          <w:sz w:val="24"/>
          <w:szCs w:val="24"/>
        </w:rPr>
        <w:t xml:space="preserve"> de 2015</w:t>
      </w:r>
      <w:r w:rsidRPr="008F0953">
        <w:rPr>
          <w:rFonts w:ascii="Times New Roman" w:hAnsi="Times New Roman" w:cs="Times New Roman"/>
          <w:sz w:val="24"/>
          <w:szCs w:val="24"/>
        </w:rPr>
        <w:t xml:space="preserve"> se enquadrou </w:t>
      </w:r>
      <w:r w:rsidR="00441D2A">
        <w:rPr>
          <w:rFonts w:ascii="Times New Roman" w:hAnsi="Times New Roman" w:cs="Times New Roman"/>
          <w:sz w:val="24"/>
          <w:szCs w:val="24"/>
        </w:rPr>
        <w:t>n</w:t>
      </w:r>
      <w:r w:rsidRPr="008F0953">
        <w:rPr>
          <w:rFonts w:ascii="Times New Roman" w:hAnsi="Times New Roman" w:cs="Times New Roman"/>
          <w:sz w:val="24"/>
          <w:szCs w:val="24"/>
        </w:rPr>
        <w:t xml:space="preserve">a primeira Primavera; de 01 de Dezembro </w:t>
      </w:r>
      <w:r w:rsidR="00AD3804">
        <w:rPr>
          <w:rFonts w:ascii="Times New Roman" w:hAnsi="Times New Roman" w:cs="Times New Roman"/>
          <w:sz w:val="24"/>
          <w:szCs w:val="24"/>
        </w:rPr>
        <w:t xml:space="preserve">de 2015 </w:t>
      </w:r>
      <w:r w:rsidRPr="008F0953">
        <w:rPr>
          <w:rFonts w:ascii="Times New Roman" w:hAnsi="Times New Roman" w:cs="Times New Roman"/>
          <w:sz w:val="24"/>
          <w:szCs w:val="24"/>
        </w:rPr>
        <w:t xml:space="preserve">até 28 de Fevereiro </w:t>
      </w:r>
      <w:r w:rsidR="00AD3804">
        <w:rPr>
          <w:rFonts w:ascii="Times New Roman" w:hAnsi="Times New Roman" w:cs="Times New Roman"/>
          <w:sz w:val="24"/>
          <w:szCs w:val="24"/>
        </w:rPr>
        <w:t xml:space="preserve">de 2016 </w:t>
      </w:r>
      <w:r w:rsidRPr="008F0953">
        <w:rPr>
          <w:rFonts w:ascii="Times New Roman" w:hAnsi="Times New Roman" w:cs="Times New Roman"/>
          <w:sz w:val="24"/>
          <w:szCs w:val="24"/>
        </w:rPr>
        <w:t>se enqua</w:t>
      </w:r>
      <w:r w:rsidR="00AD3804">
        <w:rPr>
          <w:rFonts w:ascii="Times New Roman" w:hAnsi="Times New Roman" w:cs="Times New Roman"/>
          <w:sz w:val="24"/>
          <w:szCs w:val="24"/>
        </w:rPr>
        <w:t>drou no segundo Verão; de 01 de M</w:t>
      </w:r>
      <w:r w:rsidRPr="008F0953">
        <w:rPr>
          <w:rFonts w:ascii="Times New Roman" w:hAnsi="Times New Roman" w:cs="Times New Roman"/>
          <w:sz w:val="24"/>
          <w:szCs w:val="24"/>
        </w:rPr>
        <w:t xml:space="preserve">arço a 31 de Maio </w:t>
      </w:r>
      <w:r w:rsidR="00AD3804">
        <w:rPr>
          <w:rFonts w:ascii="Times New Roman" w:hAnsi="Times New Roman" w:cs="Times New Roman"/>
          <w:sz w:val="24"/>
          <w:szCs w:val="24"/>
        </w:rPr>
        <w:t xml:space="preserve">de 2016 </w:t>
      </w:r>
      <w:r w:rsidRPr="008F0953">
        <w:rPr>
          <w:rFonts w:ascii="Times New Roman" w:hAnsi="Times New Roman" w:cs="Times New Roman"/>
          <w:sz w:val="24"/>
          <w:szCs w:val="24"/>
        </w:rPr>
        <w:t xml:space="preserve">se enquadrou </w:t>
      </w:r>
      <w:r w:rsidR="00AD3804">
        <w:rPr>
          <w:rFonts w:ascii="Times New Roman" w:hAnsi="Times New Roman" w:cs="Times New Roman"/>
          <w:sz w:val="24"/>
          <w:szCs w:val="24"/>
        </w:rPr>
        <w:t>n</w:t>
      </w:r>
      <w:r w:rsidRPr="008F0953">
        <w:rPr>
          <w:rFonts w:ascii="Times New Roman" w:hAnsi="Times New Roman" w:cs="Times New Roman"/>
          <w:sz w:val="24"/>
          <w:szCs w:val="24"/>
        </w:rPr>
        <w:t xml:space="preserve">o segundo Outono; de 01 de Junho até 31 de Agosto </w:t>
      </w:r>
      <w:r w:rsidR="00AD3804">
        <w:rPr>
          <w:rFonts w:ascii="Times New Roman" w:hAnsi="Times New Roman" w:cs="Times New Roman"/>
          <w:sz w:val="24"/>
          <w:szCs w:val="24"/>
        </w:rPr>
        <w:t xml:space="preserve">de 2016 </w:t>
      </w:r>
      <w:r w:rsidRPr="008F0953">
        <w:rPr>
          <w:rFonts w:ascii="Times New Roman" w:hAnsi="Times New Roman" w:cs="Times New Roman"/>
          <w:sz w:val="24"/>
          <w:szCs w:val="24"/>
        </w:rPr>
        <w:t xml:space="preserve">se enquadrou </w:t>
      </w:r>
      <w:r w:rsidR="00AD3804">
        <w:rPr>
          <w:rFonts w:ascii="Times New Roman" w:hAnsi="Times New Roman" w:cs="Times New Roman"/>
          <w:sz w:val="24"/>
          <w:szCs w:val="24"/>
        </w:rPr>
        <w:t>n</w:t>
      </w:r>
      <w:r w:rsidRPr="008F0953">
        <w:rPr>
          <w:rFonts w:ascii="Times New Roman" w:hAnsi="Times New Roman" w:cs="Times New Roman"/>
          <w:sz w:val="24"/>
          <w:szCs w:val="24"/>
        </w:rPr>
        <w:t>o segundo Inverno e de 01 de Setembro até 01 de Outubro</w:t>
      </w:r>
      <w:r w:rsidR="00AD3804">
        <w:rPr>
          <w:rFonts w:ascii="Times New Roman" w:hAnsi="Times New Roman" w:cs="Times New Roman"/>
          <w:sz w:val="24"/>
          <w:szCs w:val="24"/>
        </w:rPr>
        <w:t xml:space="preserve"> de 2016</w:t>
      </w:r>
      <w:r w:rsidRPr="008F0953">
        <w:rPr>
          <w:rFonts w:ascii="Times New Roman" w:hAnsi="Times New Roman" w:cs="Times New Roman"/>
          <w:sz w:val="24"/>
          <w:szCs w:val="24"/>
        </w:rPr>
        <w:t xml:space="preserve"> se enquadrou </w:t>
      </w:r>
      <w:r w:rsidR="00AD3804">
        <w:rPr>
          <w:rFonts w:ascii="Times New Roman" w:hAnsi="Times New Roman" w:cs="Times New Roman"/>
          <w:sz w:val="24"/>
          <w:szCs w:val="24"/>
        </w:rPr>
        <w:t>n</w:t>
      </w:r>
      <w:r w:rsidRPr="008F0953">
        <w:rPr>
          <w:rFonts w:ascii="Times New Roman" w:hAnsi="Times New Roman" w:cs="Times New Roman"/>
          <w:sz w:val="24"/>
          <w:szCs w:val="24"/>
        </w:rPr>
        <w:t>a segunda Primavera. Sendo assim, as 1059 autuações se dispuseram ao longo das estações</w:t>
      </w:r>
      <w:r>
        <w:rPr>
          <w:rFonts w:ascii="Arial" w:hAnsi="Arial" w:cs="Arial"/>
          <w:sz w:val="24"/>
          <w:szCs w:val="24"/>
        </w:rPr>
        <w:t xml:space="preserve"> </w:t>
      </w:r>
      <w:r w:rsidRPr="008F0953">
        <w:rPr>
          <w:rFonts w:ascii="Times New Roman" w:hAnsi="Times New Roman" w:cs="Times New Roman"/>
          <w:sz w:val="24"/>
          <w:szCs w:val="24"/>
        </w:rPr>
        <w:t>conforme o gráfico</w:t>
      </w:r>
      <w:r w:rsidR="008F0953" w:rsidRPr="008F0953">
        <w:rPr>
          <w:rFonts w:ascii="Times New Roman" w:hAnsi="Times New Roman" w:cs="Times New Roman"/>
          <w:sz w:val="24"/>
          <w:szCs w:val="24"/>
        </w:rPr>
        <w:t xml:space="preserve"> 06</w:t>
      </w:r>
      <w:r w:rsidRPr="008F0953">
        <w:rPr>
          <w:rFonts w:ascii="Times New Roman" w:hAnsi="Times New Roman" w:cs="Times New Roman"/>
          <w:sz w:val="24"/>
          <w:szCs w:val="24"/>
        </w:rPr>
        <w:t>:</w:t>
      </w:r>
    </w:p>
    <w:p w:rsidR="008F0953" w:rsidRPr="00AD3804" w:rsidRDefault="00AD3804" w:rsidP="00AD3804">
      <w:pPr>
        <w:pStyle w:val="Legenda"/>
        <w:keepNext/>
        <w:spacing w:after="0"/>
        <w:jc w:val="both"/>
        <w:rPr>
          <w:rFonts w:ascii="Times New Roman" w:hAnsi="Times New Roman" w:cs="Times New Roman"/>
          <w:b w:val="0"/>
          <w:color w:val="auto"/>
          <w:sz w:val="24"/>
          <w:szCs w:val="24"/>
        </w:rPr>
      </w:pPr>
      <w:r w:rsidRPr="00AD3804">
        <w:rPr>
          <w:rFonts w:ascii="Times New Roman" w:hAnsi="Times New Roman" w:cs="Times New Roman"/>
          <w:b w:val="0"/>
          <w:color w:val="auto"/>
          <w:sz w:val="24"/>
          <w:szCs w:val="24"/>
        </w:rPr>
        <w:lastRenderedPageBreak/>
        <w:t>Gráfico 06. Autuações ambientais e relação com as estações meteorológicas do ano.</w:t>
      </w:r>
    </w:p>
    <w:p w:rsidR="008F0953" w:rsidRDefault="00960811" w:rsidP="00A278B6">
      <w:pPr>
        <w:keepNext/>
        <w:spacing w:line="360" w:lineRule="auto"/>
        <w:ind w:hanging="709"/>
        <w:jc w:val="center"/>
      </w:pPr>
      <w:r>
        <w:rPr>
          <w:noProof/>
        </w:rPr>
        <w:drawing>
          <wp:inline distT="0" distB="0" distL="0" distR="0" wp14:anchorId="39C15A0A" wp14:editId="49A8155D">
            <wp:extent cx="6581775" cy="455485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3804" w:rsidRDefault="00AD3804" w:rsidP="00960811">
      <w:pPr>
        <w:spacing w:line="360" w:lineRule="auto"/>
        <w:ind w:firstLine="708"/>
        <w:jc w:val="both"/>
        <w:rPr>
          <w:rFonts w:ascii="Times New Roman" w:hAnsi="Times New Roman" w:cs="Times New Roman"/>
          <w:sz w:val="24"/>
          <w:szCs w:val="24"/>
        </w:rPr>
      </w:pPr>
    </w:p>
    <w:p w:rsidR="00AD3804" w:rsidRDefault="00960811" w:rsidP="00960811">
      <w:pPr>
        <w:spacing w:line="360" w:lineRule="auto"/>
        <w:ind w:firstLine="708"/>
        <w:jc w:val="both"/>
        <w:rPr>
          <w:rFonts w:ascii="Times New Roman" w:hAnsi="Times New Roman" w:cs="Times New Roman"/>
          <w:sz w:val="24"/>
          <w:szCs w:val="24"/>
        </w:rPr>
      </w:pPr>
      <w:r w:rsidRPr="008F0953">
        <w:rPr>
          <w:rFonts w:ascii="Times New Roman" w:hAnsi="Times New Roman" w:cs="Times New Roman"/>
          <w:sz w:val="24"/>
          <w:szCs w:val="24"/>
        </w:rPr>
        <w:t>Com esse gráfico podemos notar o desta</w:t>
      </w:r>
      <w:r w:rsidR="00AD3804">
        <w:rPr>
          <w:rFonts w:ascii="Times New Roman" w:hAnsi="Times New Roman" w:cs="Times New Roman"/>
          <w:sz w:val="24"/>
          <w:szCs w:val="24"/>
        </w:rPr>
        <w:t>que das autuações relacionadas à Lei Florestal. O primeiro v</w:t>
      </w:r>
      <w:r w:rsidRPr="008F0953">
        <w:rPr>
          <w:rFonts w:ascii="Times New Roman" w:hAnsi="Times New Roman" w:cs="Times New Roman"/>
          <w:sz w:val="24"/>
          <w:szCs w:val="24"/>
        </w:rPr>
        <w:t>erão se torna um valor irrisório, pois apresenta total de 06 autuações das q</w:t>
      </w:r>
      <w:r w:rsidR="00AD3804">
        <w:rPr>
          <w:rFonts w:ascii="Times New Roman" w:hAnsi="Times New Roman" w:cs="Times New Roman"/>
          <w:sz w:val="24"/>
          <w:szCs w:val="24"/>
        </w:rPr>
        <w:t>uais 03 (50%) são relacionadas à</w:t>
      </w:r>
      <w:r w:rsidRPr="008F0953">
        <w:rPr>
          <w:rFonts w:ascii="Times New Roman" w:hAnsi="Times New Roman" w:cs="Times New Roman"/>
          <w:sz w:val="24"/>
          <w:szCs w:val="24"/>
        </w:rPr>
        <w:t xml:space="preserve"> Lei Florest</w:t>
      </w:r>
      <w:r w:rsidR="00AD3804">
        <w:rPr>
          <w:rFonts w:ascii="Times New Roman" w:hAnsi="Times New Roman" w:cs="Times New Roman"/>
          <w:sz w:val="24"/>
          <w:szCs w:val="24"/>
        </w:rPr>
        <w:t>al, 01 autuação relacionada à</w:t>
      </w:r>
      <w:r w:rsidRPr="008F0953">
        <w:rPr>
          <w:rFonts w:ascii="Times New Roman" w:hAnsi="Times New Roman" w:cs="Times New Roman"/>
          <w:sz w:val="24"/>
          <w:szCs w:val="24"/>
        </w:rPr>
        <w:t>s multas do</w:t>
      </w:r>
      <w:r w:rsidR="00AD3804">
        <w:rPr>
          <w:rFonts w:ascii="Times New Roman" w:hAnsi="Times New Roman" w:cs="Times New Roman"/>
          <w:sz w:val="24"/>
          <w:szCs w:val="24"/>
        </w:rPr>
        <w:t xml:space="preserve"> IGAM, 01 autuação relacionada à</w:t>
      </w:r>
      <w:r w:rsidRPr="008F0953">
        <w:rPr>
          <w:rFonts w:ascii="Times New Roman" w:hAnsi="Times New Roman" w:cs="Times New Roman"/>
          <w:sz w:val="24"/>
          <w:szCs w:val="24"/>
        </w:rPr>
        <w:t xml:space="preserve"> multa da</w:t>
      </w:r>
      <w:r w:rsidR="00AD3804">
        <w:rPr>
          <w:rFonts w:ascii="Times New Roman" w:hAnsi="Times New Roman" w:cs="Times New Roman"/>
          <w:sz w:val="24"/>
          <w:szCs w:val="24"/>
        </w:rPr>
        <w:t xml:space="preserve"> FEAM, 01 autuação relacionada à</w:t>
      </w:r>
      <w:r w:rsidRPr="008F0953">
        <w:rPr>
          <w:rFonts w:ascii="Times New Roman" w:hAnsi="Times New Roman" w:cs="Times New Roman"/>
          <w:sz w:val="24"/>
          <w:szCs w:val="24"/>
        </w:rPr>
        <w:t xml:space="preserve"> multa da Lei 7772/ 80 e DN74 e nenhuma autuação para Lei da Fauna e Pesca. </w:t>
      </w:r>
    </w:p>
    <w:p w:rsidR="00AD3804" w:rsidRDefault="00960811" w:rsidP="00960811">
      <w:pPr>
        <w:spacing w:line="360" w:lineRule="auto"/>
        <w:ind w:firstLine="708"/>
        <w:jc w:val="both"/>
        <w:rPr>
          <w:rFonts w:ascii="Times New Roman" w:hAnsi="Times New Roman" w:cs="Times New Roman"/>
          <w:sz w:val="24"/>
          <w:szCs w:val="24"/>
        </w:rPr>
      </w:pPr>
      <w:r w:rsidRPr="008F0953">
        <w:rPr>
          <w:rFonts w:ascii="Times New Roman" w:hAnsi="Times New Roman" w:cs="Times New Roman"/>
          <w:sz w:val="24"/>
          <w:szCs w:val="24"/>
        </w:rPr>
        <w:t xml:space="preserve">No primeiro outono o número de autuações foi significante, totalizando 79 autuações, das </w:t>
      </w:r>
      <w:r w:rsidR="00AD3804">
        <w:rPr>
          <w:rFonts w:ascii="Times New Roman" w:hAnsi="Times New Roman" w:cs="Times New Roman"/>
          <w:sz w:val="24"/>
          <w:szCs w:val="24"/>
        </w:rPr>
        <w:t>quais 45 (56,96%) relacionadas à</w:t>
      </w:r>
      <w:r w:rsidRPr="008F0953">
        <w:rPr>
          <w:rFonts w:ascii="Times New Roman" w:hAnsi="Times New Roman" w:cs="Times New Roman"/>
          <w:sz w:val="24"/>
          <w:szCs w:val="24"/>
        </w:rPr>
        <w:t xml:space="preserve"> Lei Florestal; 20 (25,32%) autuações relacionadas a</w:t>
      </w:r>
      <w:r w:rsidR="00AD3804">
        <w:rPr>
          <w:rFonts w:ascii="Times New Roman" w:hAnsi="Times New Roman" w:cs="Times New Roman"/>
          <w:sz w:val="24"/>
          <w:szCs w:val="24"/>
        </w:rPr>
        <w:t xml:space="preserve">o IGAM; </w:t>
      </w:r>
      <w:proofErr w:type="gramStart"/>
      <w:r w:rsidR="00AD3804">
        <w:rPr>
          <w:rFonts w:ascii="Times New Roman" w:hAnsi="Times New Roman" w:cs="Times New Roman"/>
          <w:sz w:val="24"/>
          <w:szCs w:val="24"/>
        </w:rPr>
        <w:t>0</w:t>
      </w:r>
      <w:proofErr w:type="gramEnd"/>
      <w:r w:rsidR="00AD3804">
        <w:rPr>
          <w:rFonts w:ascii="Times New Roman" w:hAnsi="Times New Roman" w:cs="Times New Roman"/>
          <w:sz w:val="24"/>
          <w:szCs w:val="24"/>
        </w:rPr>
        <w:t xml:space="preserve"> autuação relacionada à</w:t>
      </w:r>
      <w:r w:rsidRPr="008F0953">
        <w:rPr>
          <w:rFonts w:ascii="Times New Roman" w:hAnsi="Times New Roman" w:cs="Times New Roman"/>
          <w:sz w:val="24"/>
          <w:szCs w:val="24"/>
        </w:rPr>
        <w:t xml:space="preserve"> FEAM; 14 (</w:t>
      </w:r>
      <w:r w:rsidR="00AD3804">
        <w:rPr>
          <w:rFonts w:ascii="Times New Roman" w:hAnsi="Times New Roman" w:cs="Times New Roman"/>
          <w:sz w:val="24"/>
          <w:szCs w:val="24"/>
        </w:rPr>
        <w:t>17,72%) autuações relacionadas à</w:t>
      </w:r>
      <w:r w:rsidRPr="008F0953">
        <w:rPr>
          <w:rFonts w:ascii="Times New Roman" w:hAnsi="Times New Roman" w:cs="Times New Roman"/>
          <w:sz w:val="24"/>
          <w:szCs w:val="24"/>
        </w:rPr>
        <w:t xml:space="preserve"> Lei 7772/80 e DN74 </w:t>
      </w:r>
      <w:r w:rsidR="00AD3804">
        <w:rPr>
          <w:rFonts w:ascii="Times New Roman" w:hAnsi="Times New Roman" w:cs="Times New Roman"/>
          <w:sz w:val="24"/>
          <w:szCs w:val="24"/>
        </w:rPr>
        <w:t>e nenhuma autuação relacionada à</w:t>
      </w:r>
      <w:r w:rsidRPr="008F0953">
        <w:rPr>
          <w:rFonts w:ascii="Times New Roman" w:hAnsi="Times New Roman" w:cs="Times New Roman"/>
          <w:sz w:val="24"/>
          <w:szCs w:val="24"/>
        </w:rPr>
        <w:t xml:space="preserve"> Lei da Fauna e Pesca. </w:t>
      </w:r>
    </w:p>
    <w:p w:rsidR="00AD3804" w:rsidRDefault="00960811" w:rsidP="00960811">
      <w:pPr>
        <w:spacing w:line="360" w:lineRule="auto"/>
        <w:ind w:firstLine="708"/>
        <w:jc w:val="both"/>
        <w:rPr>
          <w:rFonts w:ascii="Times New Roman" w:hAnsi="Times New Roman" w:cs="Times New Roman"/>
          <w:sz w:val="24"/>
          <w:szCs w:val="24"/>
        </w:rPr>
      </w:pPr>
      <w:r w:rsidRPr="008F0953">
        <w:rPr>
          <w:rFonts w:ascii="Times New Roman" w:hAnsi="Times New Roman" w:cs="Times New Roman"/>
          <w:sz w:val="24"/>
          <w:szCs w:val="24"/>
        </w:rPr>
        <w:t xml:space="preserve">No primeiro inverno o número total é de 92 autuações, das </w:t>
      </w:r>
      <w:r w:rsidR="00AD3804">
        <w:rPr>
          <w:rFonts w:ascii="Times New Roman" w:hAnsi="Times New Roman" w:cs="Times New Roman"/>
          <w:sz w:val="24"/>
          <w:szCs w:val="24"/>
        </w:rPr>
        <w:t>quais 49 (53,26%) relacionadas à</w:t>
      </w:r>
      <w:r w:rsidRPr="008F0953">
        <w:rPr>
          <w:rFonts w:ascii="Times New Roman" w:hAnsi="Times New Roman" w:cs="Times New Roman"/>
          <w:sz w:val="24"/>
          <w:szCs w:val="24"/>
        </w:rPr>
        <w:t xml:space="preserve"> Lei Florestal; 19 (20,65%) autuações relacionadas ao IGAM; 04 </w:t>
      </w:r>
      <w:r w:rsidR="00AD3804">
        <w:rPr>
          <w:rFonts w:ascii="Times New Roman" w:hAnsi="Times New Roman" w:cs="Times New Roman"/>
          <w:sz w:val="24"/>
          <w:szCs w:val="24"/>
        </w:rPr>
        <w:t xml:space="preserve">(4,35%) </w:t>
      </w:r>
      <w:r w:rsidR="00AD3804">
        <w:rPr>
          <w:rFonts w:ascii="Times New Roman" w:hAnsi="Times New Roman" w:cs="Times New Roman"/>
          <w:sz w:val="24"/>
          <w:szCs w:val="24"/>
        </w:rPr>
        <w:lastRenderedPageBreak/>
        <w:t>autuações relacionadas à</w:t>
      </w:r>
      <w:r w:rsidRPr="008F0953">
        <w:rPr>
          <w:rFonts w:ascii="Times New Roman" w:hAnsi="Times New Roman" w:cs="Times New Roman"/>
          <w:sz w:val="24"/>
          <w:szCs w:val="24"/>
        </w:rPr>
        <w:t xml:space="preserve"> FEAM; 20 (</w:t>
      </w:r>
      <w:r w:rsidR="00AD3804">
        <w:rPr>
          <w:rFonts w:ascii="Times New Roman" w:hAnsi="Times New Roman" w:cs="Times New Roman"/>
          <w:sz w:val="24"/>
          <w:szCs w:val="24"/>
        </w:rPr>
        <w:t>21,74%) autuações relacionadas à</w:t>
      </w:r>
      <w:r w:rsidRPr="008F0953">
        <w:rPr>
          <w:rFonts w:ascii="Times New Roman" w:hAnsi="Times New Roman" w:cs="Times New Roman"/>
          <w:sz w:val="24"/>
          <w:szCs w:val="24"/>
        </w:rPr>
        <w:t xml:space="preserve"> Lei 7772/80 e DN74 e nenhum</w:t>
      </w:r>
      <w:r w:rsidR="00AD3804">
        <w:rPr>
          <w:rFonts w:ascii="Times New Roman" w:hAnsi="Times New Roman" w:cs="Times New Roman"/>
          <w:sz w:val="24"/>
          <w:szCs w:val="24"/>
        </w:rPr>
        <w:t>a autuação relacionada à</w:t>
      </w:r>
      <w:r w:rsidRPr="008F0953">
        <w:rPr>
          <w:rFonts w:ascii="Times New Roman" w:hAnsi="Times New Roman" w:cs="Times New Roman"/>
          <w:sz w:val="24"/>
          <w:szCs w:val="24"/>
        </w:rPr>
        <w:t xml:space="preserve"> Lei da Fauna e Pesca. </w:t>
      </w:r>
    </w:p>
    <w:p w:rsidR="00AD3804" w:rsidRDefault="00960811" w:rsidP="00960811">
      <w:pPr>
        <w:spacing w:line="360" w:lineRule="auto"/>
        <w:ind w:firstLine="708"/>
        <w:jc w:val="both"/>
        <w:rPr>
          <w:rFonts w:ascii="Times New Roman" w:hAnsi="Times New Roman" w:cs="Times New Roman"/>
          <w:sz w:val="24"/>
          <w:szCs w:val="24"/>
        </w:rPr>
      </w:pPr>
      <w:r w:rsidRPr="008F0953">
        <w:rPr>
          <w:rFonts w:ascii="Times New Roman" w:hAnsi="Times New Roman" w:cs="Times New Roman"/>
          <w:sz w:val="24"/>
          <w:szCs w:val="24"/>
        </w:rPr>
        <w:t xml:space="preserve">Na primeira primavera o número total é de 81 autuações, das quais 27 (33,33%) relacionadas </w:t>
      </w:r>
      <w:r w:rsidR="00AD3804">
        <w:rPr>
          <w:rFonts w:ascii="Times New Roman" w:hAnsi="Times New Roman" w:cs="Times New Roman"/>
          <w:sz w:val="24"/>
          <w:szCs w:val="24"/>
        </w:rPr>
        <w:t>à</w:t>
      </w:r>
      <w:r w:rsidRPr="008F0953">
        <w:rPr>
          <w:rFonts w:ascii="Times New Roman" w:hAnsi="Times New Roman" w:cs="Times New Roman"/>
          <w:sz w:val="24"/>
          <w:szCs w:val="24"/>
        </w:rPr>
        <w:t xml:space="preserve"> Lei Florestal; 18 (22,22%) autuações relacionadas ao IGAM; 10 (</w:t>
      </w:r>
      <w:r w:rsidR="00AD3804">
        <w:rPr>
          <w:rFonts w:ascii="Times New Roman" w:hAnsi="Times New Roman" w:cs="Times New Roman"/>
          <w:sz w:val="24"/>
          <w:szCs w:val="24"/>
        </w:rPr>
        <w:t>12,35%) autuações relacionadas à</w:t>
      </w:r>
      <w:r w:rsidRPr="008F0953">
        <w:rPr>
          <w:rFonts w:ascii="Times New Roman" w:hAnsi="Times New Roman" w:cs="Times New Roman"/>
          <w:sz w:val="24"/>
          <w:szCs w:val="24"/>
        </w:rPr>
        <w:t xml:space="preserve"> FEAM; 26 (32,10%) au</w:t>
      </w:r>
      <w:r w:rsidR="00AD3804">
        <w:rPr>
          <w:rFonts w:ascii="Times New Roman" w:hAnsi="Times New Roman" w:cs="Times New Roman"/>
          <w:sz w:val="24"/>
          <w:szCs w:val="24"/>
        </w:rPr>
        <w:t>tuações relacionadas à</w:t>
      </w:r>
      <w:r w:rsidRPr="008F0953">
        <w:rPr>
          <w:rFonts w:ascii="Times New Roman" w:hAnsi="Times New Roman" w:cs="Times New Roman"/>
          <w:sz w:val="24"/>
          <w:szCs w:val="24"/>
        </w:rPr>
        <w:t xml:space="preserve"> Lei 7772/80 e DN74 </w:t>
      </w:r>
      <w:r w:rsidR="00AD3804">
        <w:rPr>
          <w:rFonts w:ascii="Times New Roman" w:hAnsi="Times New Roman" w:cs="Times New Roman"/>
          <w:sz w:val="24"/>
          <w:szCs w:val="24"/>
        </w:rPr>
        <w:t>e nenhuma autuação relacionada à</w:t>
      </w:r>
      <w:r w:rsidRPr="008F0953">
        <w:rPr>
          <w:rFonts w:ascii="Times New Roman" w:hAnsi="Times New Roman" w:cs="Times New Roman"/>
          <w:sz w:val="24"/>
          <w:szCs w:val="24"/>
        </w:rPr>
        <w:t xml:space="preserve"> Lei da Fauna e Pesca. </w:t>
      </w:r>
    </w:p>
    <w:p w:rsidR="00AD3804" w:rsidRDefault="00960811" w:rsidP="00960811">
      <w:pPr>
        <w:spacing w:line="360" w:lineRule="auto"/>
        <w:ind w:firstLine="708"/>
        <w:jc w:val="both"/>
        <w:rPr>
          <w:rFonts w:ascii="Times New Roman" w:hAnsi="Times New Roman" w:cs="Times New Roman"/>
          <w:sz w:val="24"/>
          <w:szCs w:val="24"/>
        </w:rPr>
      </w:pPr>
      <w:r w:rsidRPr="008F0953">
        <w:rPr>
          <w:rFonts w:ascii="Times New Roman" w:hAnsi="Times New Roman" w:cs="Times New Roman"/>
          <w:sz w:val="24"/>
          <w:szCs w:val="24"/>
        </w:rPr>
        <w:t>No segundo verão o número total é de 251 autuações, das q</w:t>
      </w:r>
      <w:r w:rsidR="00AD3804">
        <w:rPr>
          <w:rFonts w:ascii="Times New Roman" w:hAnsi="Times New Roman" w:cs="Times New Roman"/>
          <w:sz w:val="24"/>
          <w:szCs w:val="24"/>
        </w:rPr>
        <w:t>uais 164 (65,34%) relacionadas à</w:t>
      </w:r>
      <w:r w:rsidRPr="008F0953">
        <w:rPr>
          <w:rFonts w:ascii="Times New Roman" w:hAnsi="Times New Roman" w:cs="Times New Roman"/>
          <w:sz w:val="24"/>
          <w:szCs w:val="24"/>
        </w:rPr>
        <w:t xml:space="preserve"> Lei Florestal; 30 (11,95%) autuações relacionadas ao IGAM; 27 (10,75%</w:t>
      </w:r>
      <w:r w:rsidR="00AD3804">
        <w:rPr>
          <w:rFonts w:ascii="Times New Roman" w:hAnsi="Times New Roman" w:cs="Times New Roman"/>
          <w:sz w:val="24"/>
          <w:szCs w:val="24"/>
        </w:rPr>
        <w:t>) autuações relacionadas à</w:t>
      </w:r>
      <w:r w:rsidRPr="008F0953">
        <w:rPr>
          <w:rFonts w:ascii="Times New Roman" w:hAnsi="Times New Roman" w:cs="Times New Roman"/>
          <w:sz w:val="24"/>
          <w:szCs w:val="24"/>
        </w:rPr>
        <w:t xml:space="preserve"> FEAM; 15 </w:t>
      </w:r>
      <w:r w:rsidR="00AD3804">
        <w:rPr>
          <w:rFonts w:ascii="Times New Roman" w:hAnsi="Times New Roman" w:cs="Times New Roman"/>
          <w:sz w:val="24"/>
          <w:szCs w:val="24"/>
        </w:rPr>
        <w:t>(5,98%) autuações relacionadas à</w:t>
      </w:r>
      <w:r w:rsidRPr="008F0953">
        <w:rPr>
          <w:rFonts w:ascii="Times New Roman" w:hAnsi="Times New Roman" w:cs="Times New Roman"/>
          <w:sz w:val="24"/>
          <w:szCs w:val="24"/>
        </w:rPr>
        <w:t xml:space="preserve"> Lei 7772/80 </w:t>
      </w:r>
      <w:r w:rsidR="00AD3804">
        <w:rPr>
          <w:rFonts w:ascii="Times New Roman" w:hAnsi="Times New Roman" w:cs="Times New Roman"/>
          <w:sz w:val="24"/>
          <w:szCs w:val="24"/>
        </w:rPr>
        <w:t xml:space="preserve">e DN74; </w:t>
      </w:r>
      <w:proofErr w:type="gramStart"/>
      <w:r w:rsidR="00AD3804">
        <w:rPr>
          <w:rFonts w:ascii="Times New Roman" w:hAnsi="Times New Roman" w:cs="Times New Roman"/>
          <w:sz w:val="24"/>
          <w:szCs w:val="24"/>
        </w:rPr>
        <w:t>0</w:t>
      </w:r>
      <w:proofErr w:type="gramEnd"/>
      <w:r w:rsidR="00AD3804">
        <w:rPr>
          <w:rFonts w:ascii="Times New Roman" w:hAnsi="Times New Roman" w:cs="Times New Roman"/>
          <w:sz w:val="24"/>
          <w:szCs w:val="24"/>
        </w:rPr>
        <w:t xml:space="preserve"> autuação relacionada à</w:t>
      </w:r>
      <w:r w:rsidRPr="008F0953">
        <w:rPr>
          <w:rFonts w:ascii="Times New Roman" w:hAnsi="Times New Roman" w:cs="Times New Roman"/>
          <w:sz w:val="24"/>
          <w:szCs w:val="24"/>
        </w:rPr>
        <w:t xml:space="preserve"> Lei da Fauna e 15 </w:t>
      </w:r>
      <w:r w:rsidR="00AD3804">
        <w:rPr>
          <w:rFonts w:ascii="Times New Roman" w:hAnsi="Times New Roman" w:cs="Times New Roman"/>
          <w:sz w:val="24"/>
          <w:szCs w:val="24"/>
        </w:rPr>
        <w:t>(5,98%) autuações relacionadas à</w:t>
      </w:r>
      <w:r w:rsidRPr="008F0953">
        <w:rPr>
          <w:rFonts w:ascii="Times New Roman" w:hAnsi="Times New Roman" w:cs="Times New Roman"/>
          <w:sz w:val="24"/>
          <w:szCs w:val="24"/>
        </w:rPr>
        <w:t xml:space="preserve"> Lei da Pesca. </w:t>
      </w:r>
    </w:p>
    <w:p w:rsidR="00CA2DC6" w:rsidRDefault="00960811" w:rsidP="00CA2DC6">
      <w:pPr>
        <w:spacing w:line="360" w:lineRule="auto"/>
        <w:ind w:firstLine="708"/>
        <w:jc w:val="both"/>
        <w:rPr>
          <w:rFonts w:ascii="Times New Roman" w:hAnsi="Times New Roman" w:cs="Times New Roman"/>
          <w:sz w:val="24"/>
          <w:szCs w:val="24"/>
        </w:rPr>
      </w:pPr>
      <w:r w:rsidRPr="008F0953">
        <w:rPr>
          <w:rFonts w:ascii="Times New Roman" w:hAnsi="Times New Roman" w:cs="Times New Roman"/>
          <w:sz w:val="24"/>
          <w:szCs w:val="24"/>
        </w:rPr>
        <w:t>No segundo outono o número total é de 165 autuações, das quais 88 (53,33%) re</w:t>
      </w:r>
      <w:r w:rsidR="00CA2DC6">
        <w:rPr>
          <w:rFonts w:ascii="Times New Roman" w:hAnsi="Times New Roman" w:cs="Times New Roman"/>
          <w:sz w:val="24"/>
          <w:szCs w:val="24"/>
        </w:rPr>
        <w:t>lacionadas à</w:t>
      </w:r>
      <w:r w:rsidRPr="008F0953">
        <w:rPr>
          <w:rFonts w:ascii="Times New Roman" w:hAnsi="Times New Roman" w:cs="Times New Roman"/>
          <w:sz w:val="24"/>
          <w:szCs w:val="24"/>
        </w:rPr>
        <w:t xml:space="preserve"> Lei Florestal; 20 (12,12%) autuações relacionadas ao IGAM; 21 (</w:t>
      </w:r>
      <w:r w:rsidR="00CA2DC6">
        <w:rPr>
          <w:rFonts w:ascii="Times New Roman" w:hAnsi="Times New Roman" w:cs="Times New Roman"/>
          <w:sz w:val="24"/>
          <w:szCs w:val="24"/>
        </w:rPr>
        <w:t>12,73%) autuações relacionadas à</w:t>
      </w:r>
      <w:r w:rsidRPr="008F0953">
        <w:rPr>
          <w:rFonts w:ascii="Times New Roman" w:hAnsi="Times New Roman" w:cs="Times New Roman"/>
          <w:sz w:val="24"/>
          <w:szCs w:val="24"/>
        </w:rPr>
        <w:t xml:space="preserve"> FEAM; 15 </w:t>
      </w:r>
      <w:r w:rsidR="00CA2DC6">
        <w:rPr>
          <w:rFonts w:ascii="Times New Roman" w:hAnsi="Times New Roman" w:cs="Times New Roman"/>
          <w:sz w:val="24"/>
          <w:szCs w:val="24"/>
        </w:rPr>
        <w:t>(9,09%) autuações relacionadas à</w:t>
      </w:r>
      <w:r w:rsidRPr="008F0953">
        <w:rPr>
          <w:rFonts w:ascii="Times New Roman" w:hAnsi="Times New Roman" w:cs="Times New Roman"/>
          <w:sz w:val="24"/>
          <w:szCs w:val="24"/>
        </w:rPr>
        <w:t xml:space="preserve"> Lei 7772/80 e DN74; 18 (</w:t>
      </w:r>
      <w:r w:rsidR="00CA2DC6">
        <w:rPr>
          <w:rFonts w:ascii="Times New Roman" w:hAnsi="Times New Roman" w:cs="Times New Roman"/>
          <w:sz w:val="24"/>
          <w:szCs w:val="24"/>
        </w:rPr>
        <w:t>10,91%) autuações relacionadas à</w:t>
      </w:r>
      <w:r w:rsidRPr="008F0953">
        <w:rPr>
          <w:rFonts w:ascii="Times New Roman" w:hAnsi="Times New Roman" w:cs="Times New Roman"/>
          <w:sz w:val="24"/>
          <w:szCs w:val="24"/>
        </w:rPr>
        <w:t xml:space="preserve"> Lei da Fauna e 03 (1,82%) autuações relacionadas</w:t>
      </w:r>
      <w:r w:rsidR="00CA2DC6">
        <w:rPr>
          <w:rFonts w:ascii="Times New Roman" w:hAnsi="Times New Roman" w:cs="Times New Roman"/>
          <w:sz w:val="24"/>
          <w:szCs w:val="24"/>
        </w:rPr>
        <w:t xml:space="preserve"> à</w:t>
      </w:r>
      <w:r w:rsidRPr="008F0953">
        <w:rPr>
          <w:rFonts w:ascii="Times New Roman" w:hAnsi="Times New Roman" w:cs="Times New Roman"/>
          <w:sz w:val="24"/>
          <w:szCs w:val="24"/>
        </w:rPr>
        <w:t xml:space="preserve"> Lei da Pesca. </w:t>
      </w:r>
    </w:p>
    <w:p w:rsidR="00CA2DC6" w:rsidRDefault="00960811" w:rsidP="00960811">
      <w:pPr>
        <w:spacing w:line="360" w:lineRule="auto"/>
        <w:ind w:firstLine="708"/>
        <w:jc w:val="both"/>
        <w:rPr>
          <w:rFonts w:ascii="Times New Roman" w:hAnsi="Times New Roman" w:cs="Times New Roman"/>
          <w:sz w:val="24"/>
          <w:szCs w:val="24"/>
        </w:rPr>
      </w:pPr>
      <w:r w:rsidRPr="008F0953">
        <w:rPr>
          <w:rFonts w:ascii="Times New Roman" w:hAnsi="Times New Roman" w:cs="Times New Roman"/>
          <w:sz w:val="24"/>
          <w:szCs w:val="24"/>
        </w:rPr>
        <w:t>No segundo inverno o número total é de 241 autuações, das q</w:t>
      </w:r>
      <w:r w:rsidR="00CA2DC6">
        <w:rPr>
          <w:rFonts w:ascii="Times New Roman" w:hAnsi="Times New Roman" w:cs="Times New Roman"/>
          <w:sz w:val="24"/>
          <w:szCs w:val="24"/>
        </w:rPr>
        <w:t>uais 125 (51,87%) relacionadas à</w:t>
      </w:r>
      <w:r w:rsidRPr="008F0953">
        <w:rPr>
          <w:rFonts w:ascii="Times New Roman" w:hAnsi="Times New Roman" w:cs="Times New Roman"/>
          <w:sz w:val="24"/>
          <w:szCs w:val="24"/>
        </w:rPr>
        <w:t xml:space="preserve"> Lei Florestal; 31 (12,86%) autuações relacionadas ao IGAM; 33 (</w:t>
      </w:r>
      <w:r w:rsidR="00CA2DC6">
        <w:rPr>
          <w:rFonts w:ascii="Times New Roman" w:hAnsi="Times New Roman" w:cs="Times New Roman"/>
          <w:sz w:val="24"/>
          <w:szCs w:val="24"/>
        </w:rPr>
        <w:t>13,69%) autuações relacionadas à</w:t>
      </w:r>
      <w:r w:rsidRPr="008F0953">
        <w:rPr>
          <w:rFonts w:ascii="Times New Roman" w:hAnsi="Times New Roman" w:cs="Times New Roman"/>
          <w:sz w:val="24"/>
          <w:szCs w:val="24"/>
        </w:rPr>
        <w:t xml:space="preserve"> FEAM; 08 </w:t>
      </w:r>
      <w:r w:rsidR="00CA2DC6">
        <w:rPr>
          <w:rFonts w:ascii="Times New Roman" w:hAnsi="Times New Roman" w:cs="Times New Roman"/>
          <w:sz w:val="24"/>
          <w:szCs w:val="24"/>
        </w:rPr>
        <w:t>(3,32%) autuações relacionadas à</w:t>
      </w:r>
      <w:r w:rsidRPr="008F0953">
        <w:rPr>
          <w:rFonts w:ascii="Times New Roman" w:hAnsi="Times New Roman" w:cs="Times New Roman"/>
          <w:sz w:val="24"/>
          <w:szCs w:val="24"/>
        </w:rPr>
        <w:t xml:space="preserve"> Lei 7772/80 e DN74; 36 (</w:t>
      </w:r>
      <w:r w:rsidR="00CA2DC6">
        <w:rPr>
          <w:rFonts w:ascii="Times New Roman" w:hAnsi="Times New Roman" w:cs="Times New Roman"/>
          <w:sz w:val="24"/>
          <w:szCs w:val="24"/>
        </w:rPr>
        <w:t>14,94%) autuações relacionadas à</w:t>
      </w:r>
      <w:r w:rsidRPr="008F0953">
        <w:rPr>
          <w:rFonts w:ascii="Times New Roman" w:hAnsi="Times New Roman" w:cs="Times New Roman"/>
          <w:sz w:val="24"/>
          <w:szCs w:val="24"/>
        </w:rPr>
        <w:t xml:space="preserve"> Lei da Fauna e 08 </w:t>
      </w:r>
      <w:r w:rsidR="00CA2DC6">
        <w:rPr>
          <w:rFonts w:ascii="Times New Roman" w:hAnsi="Times New Roman" w:cs="Times New Roman"/>
          <w:sz w:val="24"/>
          <w:szCs w:val="24"/>
        </w:rPr>
        <w:t>(3,32%) autuações relacionadas à</w:t>
      </w:r>
      <w:r w:rsidRPr="008F0953">
        <w:rPr>
          <w:rFonts w:ascii="Times New Roman" w:hAnsi="Times New Roman" w:cs="Times New Roman"/>
          <w:sz w:val="24"/>
          <w:szCs w:val="24"/>
        </w:rPr>
        <w:t xml:space="preserve"> Lei da Pesca. </w:t>
      </w:r>
    </w:p>
    <w:p w:rsidR="00960811" w:rsidRPr="008F0953" w:rsidRDefault="00960811" w:rsidP="00960811">
      <w:pPr>
        <w:spacing w:line="360" w:lineRule="auto"/>
        <w:ind w:firstLine="708"/>
        <w:jc w:val="both"/>
        <w:rPr>
          <w:rFonts w:ascii="Times New Roman" w:hAnsi="Times New Roman" w:cs="Times New Roman"/>
          <w:sz w:val="24"/>
          <w:szCs w:val="24"/>
        </w:rPr>
      </w:pPr>
      <w:r w:rsidRPr="008F0953">
        <w:rPr>
          <w:rFonts w:ascii="Times New Roman" w:hAnsi="Times New Roman" w:cs="Times New Roman"/>
          <w:sz w:val="24"/>
          <w:szCs w:val="24"/>
        </w:rPr>
        <w:t xml:space="preserve">Na segunda primavera o número total é de 144 autuações, das </w:t>
      </w:r>
      <w:r w:rsidR="00CA2DC6">
        <w:rPr>
          <w:rFonts w:ascii="Times New Roman" w:hAnsi="Times New Roman" w:cs="Times New Roman"/>
          <w:sz w:val="24"/>
          <w:szCs w:val="24"/>
        </w:rPr>
        <w:t>quais 76 (52,78%) relacionadas à</w:t>
      </w:r>
      <w:r w:rsidRPr="008F0953">
        <w:rPr>
          <w:rFonts w:ascii="Times New Roman" w:hAnsi="Times New Roman" w:cs="Times New Roman"/>
          <w:sz w:val="24"/>
          <w:szCs w:val="24"/>
        </w:rPr>
        <w:t xml:space="preserve"> Lei Florestal; 17 (11,80%) autuações relacionadas ao IGAM; 19 (</w:t>
      </w:r>
      <w:r w:rsidR="00CA2DC6">
        <w:rPr>
          <w:rFonts w:ascii="Times New Roman" w:hAnsi="Times New Roman" w:cs="Times New Roman"/>
          <w:sz w:val="24"/>
          <w:szCs w:val="24"/>
        </w:rPr>
        <w:t>13,19%) autuações relacionadas à</w:t>
      </w:r>
      <w:r w:rsidRPr="008F0953">
        <w:rPr>
          <w:rFonts w:ascii="Times New Roman" w:hAnsi="Times New Roman" w:cs="Times New Roman"/>
          <w:sz w:val="24"/>
          <w:szCs w:val="24"/>
        </w:rPr>
        <w:t xml:space="preserve"> FEAM; 04 </w:t>
      </w:r>
      <w:r w:rsidR="00CA2DC6">
        <w:rPr>
          <w:rFonts w:ascii="Times New Roman" w:hAnsi="Times New Roman" w:cs="Times New Roman"/>
          <w:sz w:val="24"/>
          <w:szCs w:val="24"/>
        </w:rPr>
        <w:t>(2,78%) autuações relacionadas à</w:t>
      </w:r>
      <w:r w:rsidRPr="008F0953">
        <w:rPr>
          <w:rFonts w:ascii="Times New Roman" w:hAnsi="Times New Roman" w:cs="Times New Roman"/>
          <w:sz w:val="24"/>
          <w:szCs w:val="24"/>
        </w:rPr>
        <w:t xml:space="preserve"> Lei 7772/80 e DN74; 22 (</w:t>
      </w:r>
      <w:r w:rsidR="00CA2DC6">
        <w:rPr>
          <w:rFonts w:ascii="Times New Roman" w:hAnsi="Times New Roman" w:cs="Times New Roman"/>
          <w:sz w:val="24"/>
          <w:szCs w:val="24"/>
        </w:rPr>
        <w:t>15,28%) autuações relacionadas à</w:t>
      </w:r>
      <w:r w:rsidRPr="008F0953">
        <w:rPr>
          <w:rFonts w:ascii="Times New Roman" w:hAnsi="Times New Roman" w:cs="Times New Roman"/>
          <w:sz w:val="24"/>
          <w:szCs w:val="24"/>
        </w:rPr>
        <w:t xml:space="preserve"> Lei da Fauna e 06 </w:t>
      </w:r>
      <w:r w:rsidR="00CA2DC6">
        <w:rPr>
          <w:rFonts w:ascii="Times New Roman" w:hAnsi="Times New Roman" w:cs="Times New Roman"/>
          <w:sz w:val="24"/>
          <w:szCs w:val="24"/>
        </w:rPr>
        <w:t>(4,17%) autuações relacionadas à</w:t>
      </w:r>
      <w:r w:rsidRPr="008F0953">
        <w:rPr>
          <w:rFonts w:ascii="Times New Roman" w:hAnsi="Times New Roman" w:cs="Times New Roman"/>
          <w:sz w:val="24"/>
          <w:szCs w:val="24"/>
        </w:rPr>
        <w:t xml:space="preserve"> Lei da Pesca.</w:t>
      </w:r>
    </w:p>
    <w:p w:rsidR="00CA2DC6" w:rsidRDefault="008F0953" w:rsidP="00960811">
      <w:pPr>
        <w:spacing w:line="360" w:lineRule="auto"/>
        <w:jc w:val="both"/>
        <w:rPr>
          <w:rFonts w:ascii="Times New Roman" w:hAnsi="Times New Roman" w:cs="Times New Roman"/>
          <w:sz w:val="24"/>
          <w:szCs w:val="24"/>
        </w:rPr>
      </w:pPr>
      <w:r>
        <w:rPr>
          <w:rFonts w:ascii="Arial" w:hAnsi="Arial" w:cs="Arial"/>
          <w:sz w:val="24"/>
          <w:szCs w:val="24"/>
        </w:rPr>
        <w:tab/>
      </w:r>
      <w:r w:rsidR="002F7577">
        <w:rPr>
          <w:rFonts w:ascii="Times New Roman" w:hAnsi="Times New Roman" w:cs="Times New Roman"/>
          <w:sz w:val="24"/>
          <w:szCs w:val="24"/>
        </w:rPr>
        <w:t>O fato</w:t>
      </w:r>
      <w:r w:rsidRPr="008F0953">
        <w:rPr>
          <w:rFonts w:ascii="Times New Roman" w:hAnsi="Times New Roman" w:cs="Times New Roman"/>
          <w:sz w:val="24"/>
          <w:szCs w:val="24"/>
        </w:rPr>
        <w:t xml:space="preserve"> notável</w:t>
      </w:r>
      <w:r w:rsidR="00960811" w:rsidRPr="008F0953">
        <w:rPr>
          <w:rFonts w:ascii="Times New Roman" w:hAnsi="Times New Roman" w:cs="Times New Roman"/>
          <w:sz w:val="24"/>
          <w:szCs w:val="24"/>
        </w:rPr>
        <w:t xml:space="preserve"> é que as autuações de 2016 lig</w:t>
      </w:r>
      <w:r w:rsidR="00CA2DC6">
        <w:rPr>
          <w:rFonts w:ascii="Times New Roman" w:hAnsi="Times New Roman" w:cs="Times New Roman"/>
          <w:sz w:val="24"/>
          <w:szCs w:val="24"/>
        </w:rPr>
        <w:t>adas à</w:t>
      </w:r>
      <w:r w:rsidR="00960811" w:rsidRPr="008F0953">
        <w:rPr>
          <w:rFonts w:ascii="Times New Roman" w:hAnsi="Times New Roman" w:cs="Times New Roman"/>
          <w:sz w:val="24"/>
          <w:szCs w:val="24"/>
        </w:rPr>
        <w:t xml:space="preserve"> Lei Florestal aumentaram em relação aos m</w:t>
      </w:r>
      <w:r w:rsidR="002F7577">
        <w:rPr>
          <w:rFonts w:ascii="Times New Roman" w:hAnsi="Times New Roman" w:cs="Times New Roman"/>
          <w:sz w:val="24"/>
          <w:szCs w:val="24"/>
        </w:rPr>
        <w:t xml:space="preserve">esmos períodos de 2015 </w:t>
      </w:r>
      <w:r w:rsidR="00960811" w:rsidRPr="008F0953">
        <w:rPr>
          <w:rFonts w:ascii="Times New Roman" w:hAnsi="Times New Roman" w:cs="Times New Roman"/>
          <w:sz w:val="24"/>
          <w:szCs w:val="24"/>
        </w:rPr>
        <w:t>e que temos dois picos no ano de 2016 sendo que o maior é no verão e o segundo maior no inverno. Quanto ás autuações relacionadas</w:t>
      </w:r>
      <w:r w:rsidR="002F7577">
        <w:rPr>
          <w:rFonts w:ascii="Times New Roman" w:hAnsi="Times New Roman" w:cs="Times New Roman"/>
          <w:sz w:val="24"/>
          <w:szCs w:val="24"/>
        </w:rPr>
        <w:t xml:space="preserve"> ao IGAM, é avaliada uma pouca</w:t>
      </w:r>
      <w:r w:rsidR="00960811" w:rsidRPr="008F0953">
        <w:rPr>
          <w:rFonts w:ascii="Times New Roman" w:hAnsi="Times New Roman" w:cs="Times New Roman"/>
          <w:sz w:val="24"/>
          <w:szCs w:val="24"/>
        </w:rPr>
        <w:t xml:space="preserve"> alteração, visto que ocorre uma amplitude de apenas 14 autuações em todo o período avaliado.</w:t>
      </w:r>
    </w:p>
    <w:p w:rsidR="00CA2DC6" w:rsidRDefault="00CA2DC6" w:rsidP="00CA2DC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Quanto às multas relacionadas à</w:t>
      </w:r>
      <w:r w:rsidR="00960811" w:rsidRPr="008F0953">
        <w:rPr>
          <w:rFonts w:ascii="Times New Roman" w:hAnsi="Times New Roman" w:cs="Times New Roman"/>
          <w:sz w:val="24"/>
          <w:szCs w:val="24"/>
        </w:rPr>
        <w:t xml:space="preserve"> FEAM é observado um aumento significativo de autuações em 2016 quando comparado ao ano anterior, tendo um pico de 33 (13,69%) das totais autuações do segundo inverno analisado, </w:t>
      </w:r>
      <w:r w:rsidR="002F7577">
        <w:rPr>
          <w:rFonts w:ascii="Times New Roman" w:hAnsi="Times New Roman" w:cs="Times New Roman"/>
          <w:sz w:val="24"/>
          <w:szCs w:val="24"/>
        </w:rPr>
        <w:t>aumento</w:t>
      </w:r>
      <w:r w:rsidR="00960811" w:rsidRPr="008F0953">
        <w:rPr>
          <w:rFonts w:ascii="Times New Roman" w:hAnsi="Times New Roman" w:cs="Times New Roman"/>
          <w:sz w:val="24"/>
          <w:szCs w:val="24"/>
        </w:rPr>
        <w:t xml:space="preserve"> oriundo de um possível reforço na fiscalização de processos de licenciamento ambiental. Já as </w:t>
      </w:r>
      <w:r>
        <w:rPr>
          <w:rFonts w:ascii="Times New Roman" w:hAnsi="Times New Roman" w:cs="Times New Roman"/>
          <w:sz w:val="24"/>
          <w:szCs w:val="24"/>
        </w:rPr>
        <w:t>autuações de 2016 relacionadas à</w:t>
      </w:r>
      <w:r w:rsidR="00960811" w:rsidRPr="008F0953">
        <w:rPr>
          <w:rFonts w:ascii="Times New Roman" w:hAnsi="Times New Roman" w:cs="Times New Roman"/>
          <w:sz w:val="24"/>
          <w:szCs w:val="24"/>
        </w:rPr>
        <w:t xml:space="preserve"> Lei 7772/80 e DN74 refletiram uma queda quando comparadas ao número de 2015. </w:t>
      </w:r>
    </w:p>
    <w:p w:rsidR="00CA2DC6" w:rsidRDefault="00960811" w:rsidP="00CA2DC6">
      <w:pPr>
        <w:spacing w:line="360" w:lineRule="auto"/>
        <w:ind w:firstLine="709"/>
        <w:jc w:val="both"/>
        <w:rPr>
          <w:rFonts w:ascii="Times New Roman" w:hAnsi="Times New Roman" w:cs="Times New Roman"/>
          <w:sz w:val="24"/>
          <w:szCs w:val="24"/>
        </w:rPr>
      </w:pPr>
      <w:r w:rsidRPr="008F0953">
        <w:rPr>
          <w:rFonts w:ascii="Times New Roman" w:hAnsi="Times New Roman" w:cs="Times New Roman"/>
          <w:sz w:val="24"/>
          <w:szCs w:val="24"/>
        </w:rPr>
        <w:t>Outro ponto são as autuações</w:t>
      </w:r>
      <w:r w:rsidR="00CA2DC6">
        <w:rPr>
          <w:rFonts w:ascii="Times New Roman" w:hAnsi="Times New Roman" w:cs="Times New Roman"/>
          <w:sz w:val="24"/>
          <w:szCs w:val="24"/>
        </w:rPr>
        <w:t xml:space="preserve"> da Lei da Fauna, relacionadas à</w:t>
      </w:r>
      <w:r w:rsidRPr="008F0953">
        <w:rPr>
          <w:rFonts w:ascii="Times New Roman" w:hAnsi="Times New Roman" w:cs="Times New Roman"/>
          <w:sz w:val="24"/>
          <w:szCs w:val="24"/>
        </w:rPr>
        <w:t xml:space="preserve"> utilização, perseguição, destruição, caça ou apanha de qualquer espécime animal, sendo permitida através de criadouros credenciados e licenças permitindo o exercício da caça, além de permissão em situações especificas </w:t>
      </w:r>
      <w:r w:rsidR="00CA2DC6">
        <w:rPr>
          <w:rFonts w:ascii="Times New Roman" w:hAnsi="Times New Roman" w:cs="Times New Roman"/>
          <w:sz w:val="24"/>
          <w:szCs w:val="24"/>
        </w:rPr>
        <w:t xml:space="preserve">quando ligadas </w:t>
      </w:r>
      <w:proofErr w:type="gramStart"/>
      <w:r w:rsidR="00CA2DC6">
        <w:rPr>
          <w:rFonts w:ascii="Times New Roman" w:hAnsi="Times New Roman" w:cs="Times New Roman"/>
          <w:sz w:val="24"/>
          <w:szCs w:val="24"/>
        </w:rPr>
        <w:t>à</w:t>
      </w:r>
      <w:proofErr w:type="gramEnd"/>
      <w:r w:rsidR="00CA2DC6">
        <w:rPr>
          <w:rFonts w:ascii="Times New Roman" w:hAnsi="Times New Roman" w:cs="Times New Roman"/>
          <w:sz w:val="24"/>
          <w:szCs w:val="24"/>
        </w:rPr>
        <w:t xml:space="preserve"> animais que causem danos à agricultura ou à</w:t>
      </w:r>
      <w:r w:rsidRPr="008F0953">
        <w:rPr>
          <w:rFonts w:ascii="Times New Roman" w:hAnsi="Times New Roman" w:cs="Times New Roman"/>
          <w:sz w:val="24"/>
          <w:szCs w:val="24"/>
        </w:rPr>
        <w:t xml:space="preserve"> saúde publica. Essas autuações cresceram significativamente em </w:t>
      </w:r>
      <w:r w:rsidR="00972044">
        <w:rPr>
          <w:rFonts w:ascii="Times New Roman" w:hAnsi="Times New Roman" w:cs="Times New Roman"/>
          <w:sz w:val="24"/>
          <w:szCs w:val="24"/>
        </w:rPr>
        <w:t>2016 e isto comparando do segundo verão</w:t>
      </w:r>
      <w:r w:rsidRPr="008F0953">
        <w:rPr>
          <w:rFonts w:ascii="Times New Roman" w:hAnsi="Times New Roman" w:cs="Times New Roman"/>
          <w:sz w:val="24"/>
          <w:szCs w:val="24"/>
        </w:rPr>
        <w:t xml:space="preserve"> ao final da análise (Outubro), tendo um pico de 36 (14,94%) autuações no período do inverno de 2016. </w:t>
      </w:r>
    </w:p>
    <w:p w:rsidR="00CA2DC6" w:rsidRDefault="00CA2DC6" w:rsidP="00CA2DC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 à</w:t>
      </w:r>
      <w:r w:rsidR="00960811" w:rsidRPr="008F0953">
        <w:rPr>
          <w:rFonts w:ascii="Times New Roman" w:hAnsi="Times New Roman" w:cs="Times New Roman"/>
          <w:sz w:val="24"/>
          <w:szCs w:val="24"/>
        </w:rPr>
        <w:t xml:space="preserve"> Lei da pesca, podemos citar primeiramente o aspecto da piracema, que no estado de Minas Gerais compreende o período</w:t>
      </w:r>
      <w:r>
        <w:rPr>
          <w:rFonts w:ascii="Times New Roman" w:hAnsi="Times New Roman" w:cs="Times New Roman"/>
          <w:color w:val="000000"/>
          <w:sz w:val="24"/>
          <w:szCs w:val="24"/>
          <w:shd w:val="clear" w:color="auto" w:fill="FFFFFF"/>
        </w:rPr>
        <w:t xml:space="preserve"> de 01</w:t>
      </w:r>
      <w:r w:rsidR="00960811" w:rsidRPr="008F0953">
        <w:rPr>
          <w:rFonts w:ascii="Times New Roman" w:hAnsi="Times New Roman" w:cs="Times New Roman"/>
          <w:color w:val="000000"/>
          <w:sz w:val="24"/>
          <w:szCs w:val="24"/>
          <w:shd w:val="clear" w:color="auto" w:fill="FFFFFF"/>
        </w:rPr>
        <w:t xml:space="preserve"> de novembro a 28 de fevereiro do ano subsequente. É permitida apenas a pesca com limite de quantidade para espécies exóticas (de outros países), alóctones (de outras bacias brasileiras), híbridos (produzidos em laboratório), além de poucas espécies autóctones (nativas da bacia).</w:t>
      </w:r>
    </w:p>
    <w:p w:rsidR="00960811" w:rsidRPr="008F0953" w:rsidRDefault="00960811" w:rsidP="00CA2DC6">
      <w:pPr>
        <w:spacing w:line="360" w:lineRule="auto"/>
        <w:ind w:firstLine="709"/>
        <w:jc w:val="both"/>
        <w:rPr>
          <w:rFonts w:ascii="Times New Roman" w:hAnsi="Times New Roman" w:cs="Times New Roman"/>
          <w:sz w:val="24"/>
          <w:szCs w:val="24"/>
        </w:rPr>
      </w:pPr>
      <w:r w:rsidRPr="008F0953">
        <w:rPr>
          <w:rFonts w:ascii="Times New Roman" w:hAnsi="Times New Roman" w:cs="Times New Roman"/>
          <w:sz w:val="24"/>
          <w:szCs w:val="24"/>
        </w:rPr>
        <w:t>Além disso, os equipamentos permitidos são linha de mão com anzol, vara, caniço simples ou carretilha ou molinete de pesca, com iscas naturais ou artificiais, e a prática é mediante licença que deve ser mantida atualizada. Com isso foi observado um aumento significativo nas autuações quando comparamos ao ano de 2015, sendo que o pico encontra-se no período da piracema.</w:t>
      </w:r>
    </w:p>
    <w:p w:rsidR="000E77B4" w:rsidRPr="005D30B9" w:rsidRDefault="000E77B4" w:rsidP="000E77B4">
      <w:pPr>
        <w:tabs>
          <w:tab w:val="right" w:pos="9071"/>
        </w:tabs>
        <w:spacing w:after="0" w:line="360" w:lineRule="auto"/>
        <w:jc w:val="center"/>
        <w:rPr>
          <w:rFonts w:ascii="Times New Roman" w:hAnsi="Times New Roman" w:cs="Times New Roman"/>
          <w:b/>
          <w:sz w:val="24"/>
          <w:szCs w:val="24"/>
        </w:rPr>
      </w:pPr>
    </w:p>
    <w:p w:rsidR="00143E49" w:rsidRPr="00143E49" w:rsidRDefault="00143E49" w:rsidP="000E77B4">
      <w:pPr>
        <w:tabs>
          <w:tab w:val="right" w:pos="9071"/>
        </w:tabs>
        <w:spacing w:after="0" w:line="360" w:lineRule="auto"/>
        <w:rPr>
          <w:rFonts w:ascii="Times New Roman" w:hAnsi="Times New Roman" w:cs="Times New Roman"/>
          <w:sz w:val="24"/>
          <w:szCs w:val="24"/>
        </w:rPr>
      </w:pPr>
    </w:p>
    <w:p w:rsidR="000E77B4" w:rsidRPr="005D30B9" w:rsidRDefault="000E77B4">
      <w:pPr>
        <w:rPr>
          <w:rFonts w:ascii="Times New Roman" w:hAnsi="Times New Roman" w:cs="Times New Roman"/>
          <w:sz w:val="24"/>
          <w:szCs w:val="24"/>
        </w:rPr>
      </w:pPr>
      <w:r w:rsidRPr="005D30B9">
        <w:rPr>
          <w:rFonts w:ascii="Times New Roman" w:hAnsi="Times New Roman" w:cs="Times New Roman"/>
          <w:sz w:val="24"/>
          <w:szCs w:val="24"/>
        </w:rPr>
        <w:br w:type="page"/>
      </w:r>
    </w:p>
    <w:p w:rsidR="000E77B4" w:rsidRPr="00143E49" w:rsidRDefault="00AB1CE1" w:rsidP="00997075">
      <w:pPr>
        <w:tabs>
          <w:tab w:val="right" w:pos="9071"/>
        </w:tabs>
        <w:spacing w:after="0" w:line="36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3</w:t>
      </w:r>
      <w:proofErr w:type="gramEnd"/>
      <w:r w:rsidR="00997075" w:rsidRPr="00143E49">
        <w:rPr>
          <w:rFonts w:ascii="Times New Roman" w:hAnsi="Times New Roman" w:cs="Times New Roman"/>
          <w:b/>
          <w:sz w:val="24"/>
          <w:szCs w:val="24"/>
        </w:rPr>
        <w:t xml:space="preserve"> </w:t>
      </w:r>
      <w:r w:rsidR="000E77B4" w:rsidRPr="00143E49">
        <w:rPr>
          <w:rFonts w:ascii="Times New Roman" w:hAnsi="Times New Roman" w:cs="Times New Roman"/>
          <w:b/>
          <w:sz w:val="24"/>
          <w:szCs w:val="24"/>
        </w:rPr>
        <w:t>CON</w:t>
      </w:r>
      <w:r w:rsidR="00A8281F" w:rsidRPr="00143E49">
        <w:rPr>
          <w:rFonts w:ascii="Times New Roman" w:hAnsi="Times New Roman" w:cs="Times New Roman"/>
          <w:b/>
          <w:sz w:val="24"/>
          <w:szCs w:val="24"/>
        </w:rPr>
        <w:t>SIDERAÇÕES FINAIS</w:t>
      </w:r>
    </w:p>
    <w:p w:rsidR="000E77B4" w:rsidRPr="005D30B9" w:rsidRDefault="000E77B4" w:rsidP="000E77B4">
      <w:pPr>
        <w:tabs>
          <w:tab w:val="right" w:pos="9071"/>
        </w:tabs>
        <w:spacing w:after="0" w:line="360" w:lineRule="auto"/>
        <w:jc w:val="center"/>
        <w:rPr>
          <w:rFonts w:ascii="Times New Roman" w:hAnsi="Times New Roman" w:cs="Times New Roman"/>
          <w:b/>
          <w:sz w:val="24"/>
          <w:szCs w:val="24"/>
        </w:rPr>
      </w:pPr>
    </w:p>
    <w:p w:rsidR="00334087" w:rsidRDefault="00EE723E" w:rsidP="00334087">
      <w:pPr>
        <w:spacing w:line="360" w:lineRule="auto"/>
        <w:ind w:firstLine="709"/>
        <w:jc w:val="both"/>
        <w:rPr>
          <w:rFonts w:ascii="Times New Roman" w:hAnsi="Times New Roman" w:cs="Times New Roman"/>
          <w:sz w:val="24"/>
          <w:szCs w:val="24"/>
        </w:rPr>
      </w:pPr>
      <w:r w:rsidRPr="008F0953">
        <w:rPr>
          <w:rFonts w:ascii="Times New Roman" w:hAnsi="Times New Roman" w:cs="Times New Roman"/>
          <w:sz w:val="24"/>
          <w:szCs w:val="24"/>
        </w:rPr>
        <w:t xml:space="preserve">Tendo em vista todos os aspetos abordados, podemos concluir que o tipo de autuado com maior número de autuações foram pessoas físicas com 818 (77,24%) seguido de órgãos privados com 197 (18,60%) e órgãos públicos (prefeituras) com 44 (4,16%). </w:t>
      </w:r>
    </w:p>
    <w:p w:rsidR="00334087" w:rsidRDefault="00334087" w:rsidP="0033408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 à</w:t>
      </w:r>
      <w:r w:rsidR="00EE723E" w:rsidRPr="008F0953">
        <w:rPr>
          <w:rFonts w:ascii="Times New Roman" w:hAnsi="Times New Roman" w:cs="Times New Roman"/>
          <w:sz w:val="24"/>
          <w:szCs w:val="24"/>
        </w:rPr>
        <w:t xml:space="preserve">s características das multas foi identificado um número significante de autuações relacionadas </w:t>
      </w:r>
      <w:r>
        <w:rPr>
          <w:rFonts w:ascii="Times New Roman" w:hAnsi="Times New Roman" w:cs="Times New Roman"/>
          <w:sz w:val="24"/>
          <w:szCs w:val="24"/>
        </w:rPr>
        <w:t>à</w:t>
      </w:r>
      <w:r w:rsidR="00EE723E" w:rsidRPr="008F0953">
        <w:rPr>
          <w:rFonts w:ascii="Times New Roman" w:hAnsi="Times New Roman" w:cs="Times New Roman"/>
          <w:sz w:val="24"/>
          <w:szCs w:val="24"/>
        </w:rPr>
        <w:t xml:space="preserve"> Lei Florestal, com 577 (54,48%), podendo ser eleita essa a principal ocorrência da região da Zona da Mata. </w:t>
      </w:r>
    </w:p>
    <w:p w:rsidR="00334087" w:rsidRDefault="00EE723E" w:rsidP="00334087">
      <w:pPr>
        <w:spacing w:line="360" w:lineRule="auto"/>
        <w:ind w:firstLine="709"/>
        <w:jc w:val="both"/>
        <w:rPr>
          <w:rFonts w:ascii="Times New Roman" w:eastAsia="Times New Roman" w:hAnsi="Times New Roman" w:cs="Times New Roman"/>
          <w:color w:val="000000"/>
          <w:sz w:val="24"/>
          <w:szCs w:val="24"/>
        </w:rPr>
      </w:pPr>
      <w:r w:rsidRPr="008F0953">
        <w:rPr>
          <w:rFonts w:ascii="Times New Roman" w:hAnsi="Times New Roman" w:cs="Times New Roman"/>
          <w:sz w:val="24"/>
          <w:szCs w:val="24"/>
        </w:rPr>
        <w:t xml:space="preserve">Quanto ao valor das multas pode ser observado um fato interessante: as multas relacionadas </w:t>
      </w:r>
      <w:r w:rsidR="00334087">
        <w:rPr>
          <w:rFonts w:ascii="Times New Roman" w:hAnsi="Times New Roman" w:cs="Times New Roman"/>
          <w:sz w:val="24"/>
          <w:szCs w:val="24"/>
        </w:rPr>
        <w:t>à</w:t>
      </w:r>
      <w:r w:rsidRPr="008F0953">
        <w:rPr>
          <w:rFonts w:ascii="Times New Roman" w:hAnsi="Times New Roman" w:cs="Times New Roman"/>
          <w:sz w:val="24"/>
          <w:szCs w:val="24"/>
        </w:rPr>
        <w:t xml:space="preserve"> FEAM somaram um total de 115 (10,86%) do total de autua</w:t>
      </w:r>
      <w:r w:rsidR="00334087">
        <w:rPr>
          <w:rFonts w:ascii="Times New Roman" w:hAnsi="Times New Roman" w:cs="Times New Roman"/>
          <w:sz w:val="24"/>
          <w:szCs w:val="24"/>
        </w:rPr>
        <w:t>ções, porém essas correspondem à</w:t>
      </w:r>
      <w:r w:rsidRPr="008F0953">
        <w:rPr>
          <w:rFonts w:ascii="Times New Roman" w:hAnsi="Times New Roman" w:cs="Times New Roman"/>
          <w:sz w:val="24"/>
          <w:szCs w:val="24"/>
        </w:rPr>
        <w:t xml:space="preserve"> quantia de </w:t>
      </w:r>
      <w:r w:rsidRPr="008F0953">
        <w:rPr>
          <w:rFonts w:ascii="Times New Roman" w:eastAsia="Times New Roman" w:hAnsi="Times New Roman" w:cs="Times New Roman"/>
          <w:color w:val="000000"/>
          <w:sz w:val="24"/>
          <w:szCs w:val="24"/>
        </w:rPr>
        <w:t xml:space="preserve">R$ 2.117.471,40 (dois milhões, cento e dezessete mil, quatrocentos e setenta e um reais e quarenta centavos) (34,09%), superando o valor total das multas relativas </w:t>
      </w:r>
      <w:r w:rsidR="00334087">
        <w:rPr>
          <w:rFonts w:ascii="Times New Roman" w:hAnsi="Times New Roman" w:cs="Times New Roman"/>
          <w:sz w:val="24"/>
          <w:szCs w:val="24"/>
        </w:rPr>
        <w:t>à</w:t>
      </w:r>
      <w:r w:rsidRPr="008F0953">
        <w:rPr>
          <w:rFonts w:ascii="Times New Roman" w:eastAsia="Times New Roman" w:hAnsi="Times New Roman" w:cs="Times New Roman"/>
          <w:color w:val="000000"/>
          <w:sz w:val="24"/>
          <w:szCs w:val="24"/>
        </w:rPr>
        <w:t xml:space="preserve"> Lei Florestal que somaram R$ 1.964.057,79 (um milhão, novecentos e sessenta e quatro mil, cinquenta e sete reais e setenta e nove centavos) (31,62%). </w:t>
      </w:r>
    </w:p>
    <w:p w:rsidR="00334087" w:rsidRDefault="00EE723E" w:rsidP="00334087">
      <w:pPr>
        <w:spacing w:line="360" w:lineRule="auto"/>
        <w:ind w:firstLine="709"/>
        <w:jc w:val="both"/>
        <w:rPr>
          <w:rFonts w:ascii="Times New Roman" w:eastAsia="Times New Roman" w:hAnsi="Times New Roman" w:cs="Times New Roman"/>
          <w:color w:val="000000"/>
          <w:sz w:val="24"/>
          <w:szCs w:val="24"/>
        </w:rPr>
      </w:pPr>
      <w:r w:rsidRPr="008F0953">
        <w:rPr>
          <w:rFonts w:ascii="Times New Roman" w:eastAsia="Times New Roman" w:hAnsi="Times New Roman" w:cs="Times New Roman"/>
          <w:color w:val="000000"/>
          <w:sz w:val="24"/>
          <w:szCs w:val="24"/>
        </w:rPr>
        <w:t xml:space="preserve">Outro ponto analisado nessa parte de valores das multas foi </w:t>
      </w:r>
      <w:proofErr w:type="gramStart"/>
      <w:r w:rsidR="00A06596">
        <w:rPr>
          <w:rFonts w:ascii="Times New Roman" w:eastAsia="Times New Roman" w:hAnsi="Times New Roman" w:cs="Times New Roman"/>
          <w:color w:val="000000"/>
          <w:sz w:val="24"/>
          <w:szCs w:val="24"/>
        </w:rPr>
        <w:t>a</w:t>
      </w:r>
      <w:proofErr w:type="gramEnd"/>
      <w:r w:rsidRPr="008F0953">
        <w:rPr>
          <w:rFonts w:ascii="Times New Roman" w:eastAsia="Times New Roman" w:hAnsi="Times New Roman" w:cs="Times New Roman"/>
          <w:color w:val="000000"/>
          <w:sz w:val="24"/>
          <w:szCs w:val="24"/>
        </w:rPr>
        <w:t xml:space="preserve"> relação de característica de autuado, tendo como esperado um maior valor para pessoa física com R$ 3.344.632,81 (três milhões, trezentos e quarenta e quatro mil, seiscentos e trinta e dois reais e oitenta e um reais) (53,84%), e um destaque específico para as autuações de órgãos públicos, neste caso representados por prefeituras municipais, que somaram R$ 454.450,47 (quatrocentos e cinquenta e quatro mil, quatrocentos e cinquenta reais e quarenta e sete centavos) (7,32%), mesmo tendo órgãos e cargos específicos e em sua maioria foram autuações relacionada</w:t>
      </w:r>
      <w:r w:rsidR="00972044">
        <w:rPr>
          <w:rFonts w:ascii="Times New Roman" w:eastAsia="Times New Roman" w:hAnsi="Times New Roman" w:cs="Times New Roman"/>
          <w:color w:val="000000"/>
          <w:sz w:val="24"/>
          <w:szCs w:val="24"/>
        </w:rPr>
        <w:t xml:space="preserve">s </w:t>
      </w:r>
      <w:r w:rsidR="009B3535">
        <w:rPr>
          <w:rFonts w:ascii="Times New Roman" w:hAnsi="Times New Roman" w:cs="Times New Roman"/>
          <w:sz w:val="24"/>
          <w:szCs w:val="24"/>
        </w:rPr>
        <w:t>à</w:t>
      </w:r>
      <w:r w:rsidR="00972044">
        <w:rPr>
          <w:rFonts w:ascii="Times New Roman" w:eastAsia="Times New Roman" w:hAnsi="Times New Roman" w:cs="Times New Roman"/>
          <w:color w:val="000000"/>
          <w:sz w:val="24"/>
          <w:szCs w:val="24"/>
        </w:rPr>
        <w:t xml:space="preserve"> FEAM (22 autuações (50,00%)</w:t>
      </w:r>
      <w:r w:rsidRPr="008F0953">
        <w:rPr>
          <w:rFonts w:ascii="Times New Roman" w:eastAsia="Times New Roman" w:hAnsi="Times New Roman" w:cs="Times New Roman"/>
          <w:color w:val="000000"/>
          <w:sz w:val="24"/>
          <w:szCs w:val="24"/>
        </w:rPr>
        <w:t xml:space="preserve">. </w:t>
      </w:r>
    </w:p>
    <w:p w:rsidR="009B3535" w:rsidRDefault="00EE723E" w:rsidP="009B3535">
      <w:pPr>
        <w:spacing w:line="360" w:lineRule="auto"/>
        <w:ind w:firstLine="709"/>
        <w:jc w:val="both"/>
        <w:rPr>
          <w:rFonts w:ascii="Times New Roman" w:eastAsia="Times New Roman" w:hAnsi="Times New Roman" w:cs="Times New Roman"/>
          <w:color w:val="000000"/>
          <w:sz w:val="24"/>
          <w:szCs w:val="24"/>
        </w:rPr>
      </w:pPr>
      <w:r w:rsidRPr="008F0953">
        <w:rPr>
          <w:rFonts w:ascii="Times New Roman" w:eastAsia="Times New Roman" w:hAnsi="Times New Roman" w:cs="Times New Roman"/>
          <w:color w:val="000000"/>
          <w:sz w:val="24"/>
          <w:szCs w:val="24"/>
        </w:rPr>
        <w:t xml:space="preserve">Quanto </w:t>
      </w:r>
      <w:r w:rsidR="009B3535">
        <w:rPr>
          <w:rFonts w:ascii="Times New Roman" w:hAnsi="Times New Roman" w:cs="Times New Roman"/>
          <w:sz w:val="24"/>
          <w:szCs w:val="24"/>
        </w:rPr>
        <w:t>à</w:t>
      </w:r>
      <w:r w:rsidRPr="008F0953">
        <w:rPr>
          <w:rFonts w:ascii="Times New Roman" w:eastAsia="Times New Roman" w:hAnsi="Times New Roman" w:cs="Times New Roman"/>
          <w:color w:val="000000"/>
          <w:sz w:val="24"/>
          <w:szCs w:val="24"/>
        </w:rPr>
        <w:t xml:space="preserve"> situação dos imóveis autuados foi concluído que a grande maioria se concentrou em multa</w:t>
      </w:r>
      <w:r w:rsidR="00972044">
        <w:rPr>
          <w:rFonts w:ascii="Times New Roman" w:eastAsia="Times New Roman" w:hAnsi="Times New Roman" w:cs="Times New Roman"/>
          <w:color w:val="000000"/>
          <w:sz w:val="24"/>
          <w:szCs w:val="24"/>
        </w:rPr>
        <w:t>s simples com 975 (47,94%) e em</w:t>
      </w:r>
      <w:r w:rsidRPr="008F0953">
        <w:rPr>
          <w:rFonts w:ascii="Times New Roman" w:eastAsia="Times New Roman" w:hAnsi="Times New Roman" w:cs="Times New Roman"/>
          <w:color w:val="000000"/>
          <w:sz w:val="24"/>
          <w:szCs w:val="24"/>
        </w:rPr>
        <w:t xml:space="preserve"> suspensão de atividades com 545 (26,79%). Já quanto </w:t>
      </w:r>
      <w:r w:rsidR="009B3535">
        <w:rPr>
          <w:rFonts w:ascii="Times New Roman" w:hAnsi="Times New Roman" w:cs="Times New Roman"/>
          <w:sz w:val="24"/>
          <w:szCs w:val="24"/>
        </w:rPr>
        <w:t>à</w:t>
      </w:r>
      <w:r w:rsidRPr="008F0953">
        <w:rPr>
          <w:rFonts w:ascii="Times New Roman" w:eastAsia="Times New Roman" w:hAnsi="Times New Roman" w:cs="Times New Roman"/>
          <w:color w:val="000000"/>
          <w:sz w:val="24"/>
          <w:szCs w:val="24"/>
        </w:rPr>
        <w:t xml:space="preserve"> análise de autuações por estações meteorológicas</w:t>
      </w:r>
      <w:r w:rsidR="00972044">
        <w:rPr>
          <w:rFonts w:ascii="Times New Roman" w:eastAsia="Times New Roman" w:hAnsi="Times New Roman" w:cs="Times New Roman"/>
          <w:color w:val="000000"/>
          <w:sz w:val="24"/>
          <w:szCs w:val="24"/>
        </w:rPr>
        <w:t xml:space="preserve"> do ano</w:t>
      </w:r>
      <w:r w:rsidRPr="008F0953">
        <w:rPr>
          <w:rFonts w:ascii="Times New Roman" w:eastAsia="Times New Roman" w:hAnsi="Times New Roman" w:cs="Times New Roman"/>
          <w:color w:val="000000"/>
          <w:sz w:val="24"/>
          <w:szCs w:val="24"/>
        </w:rPr>
        <w:t xml:space="preserve"> podemos observar resultados que mostraram um maior número de autuações em 2016 quando comparado aos números de 2015. Com isso, as análises foram feitas de acordo com o tipo de autuação. </w:t>
      </w:r>
    </w:p>
    <w:p w:rsidR="00A50582" w:rsidRDefault="00EE723E" w:rsidP="009B3535">
      <w:pPr>
        <w:spacing w:line="360" w:lineRule="auto"/>
        <w:ind w:firstLine="709"/>
        <w:jc w:val="both"/>
        <w:rPr>
          <w:rFonts w:ascii="Times New Roman" w:hAnsi="Times New Roman" w:cs="Times New Roman"/>
          <w:sz w:val="24"/>
          <w:szCs w:val="24"/>
        </w:rPr>
      </w:pPr>
      <w:r w:rsidRPr="008F0953">
        <w:rPr>
          <w:rFonts w:ascii="Times New Roman" w:eastAsia="Times New Roman" w:hAnsi="Times New Roman" w:cs="Times New Roman"/>
          <w:color w:val="000000"/>
          <w:sz w:val="24"/>
          <w:szCs w:val="24"/>
        </w:rPr>
        <w:t xml:space="preserve">As autuações de Lei Florestal tiveram seu pico de 164 </w:t>
      </w:r>
      <w:r w:rsidRPr="008F0953">
        <w:rPr>
          <w:rFonts w:ascii="Times New Roman" w:hAnsi="Times New Roman" w:cs="Times New Roman"/>
          <w:sz w:val="24"/>
          <w:szCs w:val="24"/>
        </w:rPr>
        <w:t xml:space="preserve">(65,34%) </w:t>
      </w:r>
      <w:r w:rsidRPr="008F0953">
        <w:rPr>
          <w:rFonts w:ascii="Times New Roman" w:eastAsia="Times New Roman" w:hAnsi="Times New Roman" w:cs="Times New Roman"/>
          <w:color w:val="000000"/>
          <w:sz w:val="24"/>
          <w:szCs w:val="24"/>
        </w:rPr>
        <w:t xml:space="preserve">das totais do </w:t>
      </w:r>
      <w:r w:rsidR="00972044">
        <w:rPr>
          <w:rFonts w:ascii="Times New Roman" w:eastAsia="Times New Roman" w:hAnsi="Times New Roman" w:cs="Times New Roman"/>
          <w:color w:val="000000"/>
          <w:sz w:val="24"/>
          <w:szCs w:val="24"/>
        </w:rPr>
        <w:t>segundo verão</w:t>
      </w:r>
      <w:r w:rsidRPr="008F0953">
        <w:rPr>
          <w:rFonts w:ascii="Times New Roman" w:eastAsia="Times New Roman" w:hAnsi="Times New Roman" w:cs="Times New Roman"/>
          <w:color w:val="000000"/>
          <w:sz w:val="24"/>
          <w:szCs w:val="24"/>
        </w:rPr>
        <w:t xml:space="preserve">. Quanto </w:t>
      </w:r>
      <w:r w:rsidR="009B3535">
        <w:rPr>
          <w:rFonts w:ascii="Times New Roman" w:hAnsi="Times New Roman" w:cs="Times New Roman"/>
          <w:sz w:val="24"/>
          <w:szCs w:val="24"/>
        </w:rPr>
        <w:t>à</w:t>
      </w:r>
      <w:r w:rsidRPr="008F0953">
        <w:rPr>
          <w:rFonts w:ascii="Times New Roman" w:eastAsia="Times New Roman" w:hAnsi="Times New Roman" w:cs="Times New Roman"/>
          <w:color w:val="000000"/>
          <w:sz w:val="24"/>
          <w:szCs w:val="24"/>
        </w:rPr>
        <w:t xml:space="preserve">s autuações relacionadas ao IGAM foi </w:t>
      </w:r>
      <w:r w:rsidR="009B3535" w:rsidRPr="008F0953">
        <w:rPr>
          <w:rFonts w:ascii="Times New Roman" w:eastAsia="Times New Roman" w:hAnsi="Times New Roman" w:cs="Times New Roman"/>
          <w:color w:val="000000"/>
          <w:sz w:val="24"/>
          <w:szCs w:val="24"/>
        </w:rPr>
        <w:t>observada</w:t>
      </w:r>
      <w:r w:rsidRPr="008F0953">
        <w:rPr>
          <w:rFonts w:ascii="Times New Roman" w:eastAsia="Times New Roman" w:hAnsi="Times New Roman" w:cs="Times New Roman"/>
          <w:color w:val="000000"/>
          <w:sz w:val="24"/>
          <w:szCs w:val="24"/>
        </w:rPr>
        <w:t xml:space="preserve"> pouca variação em relação aos períodos avaliados. Quanto </w:t>
      </w:r>
      <w:r w:rsidR="009B3535">
        <w:rPr>
          <w:rFonts w:ascii="Times New Roman" w:hAnsi="Times New Roman" w:cs="Times New Roman"/>
          <w:sz w:val="24"/>
          <w:szCs w:val="24"/>
        </w:rPr>
        <w:t>à</w:t>
      </w:r>
      <w:r w:rsidRPr="008F0953">
        <w:rPr>
          <w:rFonts w:ascii="Times New Roman" w:eastAsia="Times New Roman" w:hAnsi="Times New Roman" w:cs="Times New Roman"/>
          <w:color w:val="000000"/>
          <w:sz w:val="24"/>
          <w:szCs w:val="24"/>
        </w:rPr>
        <w:t xml:space="preserve">s autuações relativas </w:t>
      </w:r>
      <w:proofErr w:type="gramStart"/>
      <w:r w:rsidR="009B3535">
        <w:rPr>
          <w:rFonts w:ascii="Times New Roman" w:hAnsi="Times New Roman" w:cs="Times New Roman"/>
          <w:sz w:val="24"/>
          <w:szCs w:val="24"/>
        </w:rPr>
        <w:t>à</w:t>
      </w:r>
      <w:proofErr w:type="gramEnd"/>
      <w:r w:rsidRPr="008F0953">
        <w:rPr>
          <w:rFonts w:ascii="Times New Roman" w:eastAsia="Times New Roman" w:hAnsi="Times New Roman" w:cs="Times New Roman"/>
          <w:color w:val="000000"/>
          <w:sz w:val="24"/>
          <w:szCs w:val="24"/>
        </w:rPr>
        <w:t xml:space="preserve"> recursos da FEAM foi observado um </w:t>
      </w:r>
      <w:r w:rsidRPr="008F0953">
        <w:rPr>
          <w:rFonts w:ascii="Times New Roman" w:hAnsi="Times New Roman" w:cs="Times New Roman"/>
          <w:sz w:val="24"/>
          <w:szCs w:val="24"/>
        </w:rPr>
        <w:lastRenderedPageBreak/>
        <w:t xml:space="preserve">pico de 33 (13,69%) das totais autuações do segundo inverno analisado. As multas relacionadas </w:t>
      </w:r>
      <w:r w:rsidR="009B3535">
        <w:rPr>
          <w:rFonts w:ascii="Times New Roman" w:hAnsi="Times New Roman" w:cs="Times New Roman"/>
          <w:sz w:val="24"/>
          <w:szCs w:val="24"/>
        </w:rPr>
        <w:t>à</w:t>
      </w:r>
      <w:r w:rsidRPr="008F0953">
        <w:rPr>
          <w:rFonts w:ascii="Times New Roman" w:hAnsi="Times New Roman" w:cs="Times New Roman"/>
          <w:sz w:val="24"/>
          <w:szCs w:val="24"/>
        </w:rPr>
        <w:t xml:space="preserve"> Lei 7772/80 e DN74 obtiveram uma redução em 2016 quando comparadas ao ano de 2015 e o pico dessas autuações foi de 26 (32,10%) das totais do período da primeira prim</w:t>
      </w:r>
      <w:r w:rsidR="00972044">
        <w:rPr>
          <w:rFonts w:ascii="Times New Roman" w:hAnsi="Times New Roman" w:cs="Times New Roman"/>
          <w:sz w:val="24"/>
          <w:szCs w:val="24"/>
        </w:rPr>
        <w:t>avera</w:t>
      </w:r>
      <w:r w:rsidRPr="008F0953">
        <w:rPr>
          <w:rFonts w:ascii="Times New Roman" w:hAnsi="Times New Roman" w:cs="Times New Roman"/>
          <w:sz w:val="24"/>
          <w:szCs w:val="24"/>
        </w:rPr>
        <w:t xml:space="preserve">. </w:t>
      </w:r>
    </w:p>
    <w:p w:rsidR="00EE723E" w:rsidRPr="008F0953" w:rsidRDefault="00270ADA" w:rsidP="009B3535">
      <w:pPr>
        <w:spacing w:line="36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Quanto </w:t>
      </w:r>
      <w:r w:rsidR="000C6834">
        <w:rPr>
          <w:rFonts w:ascii="Times New Roman" w:hAnsi="Times New Roman" w:cs="Times New Roman"/>
          <w:sz w:val="24"/>
          <w:szCs w:val="24"/>
        </w:rPr>
        <w:t>à</w:t>
      </w:r>
      <w:r w:rsidR="00EE723E" w:rsidRPr="008F0953">
        <w:rPr>
          <w:rFonts w:ascii="Times New Roman" w:hAnsi="Times New Roman" w:cs="Times New Roman"/>
          <w:sz w:val="24"/>
          <w:szCs w:val="24"/>
        </w:rPr>
        <w:t xml:space="preserve"> Lei relacionada </w:t>
      </w:r>
      <w:r w:rsidR="009B3535">
        <w:rPr>
          <w:rFonts w:ascii="Times New Roman" w:hAnsi="Times New Roman" w:cs="Times New Roman"/>
          <w:sz w:val="24"/>
          <w:szCs w:val="24"/>
        </w:rPr>
        <w:t>à</w:t>
      </w:r>
      <w:r w:rsidR="00EE723E" w:rsidRPr="008F0953">
        <w:rPr>
          <w:rFonts w:ascii="Times New Roman" w:hAnsi="Times New Roman" w:cs="Times New Roman"/>
          <w:sz w:val="24"/>
          <w:szCs w:val="24"/>
        </w:rPr>
        <w:t xml:space="preserve"> Fauna foi observado um aumento em 2016 e o pico de 36 (14,94%) autuações no se deu no s</w:t>
      </w:r>
      <w:r w:rsidR="00972044">
        <w:rPr>
          <w:rFonts w:ascii="Times New Roman" w:hAnsi="Times New Roman" w:cs="Times New Roman"/>
          <w:sz w:val="24"/>
          <w:szCs w:val="24"/>
        </w:rPr>
        <w:t>egundo inverno</w:t>
      </w:r>
      <w:r w:rsidR="00EE723E" w:rsidRPr="008F0953">
        <w:rPr>
          <w:rFonts w:ascii="Times New Roman" w:hAnsi="Times New Roman" w:cs="Times New Roman"/>
          <w:sz w:val="24"/>
          <w:szCs w:val="24"/>
        </w:rPr>
        <w:t xml:space="preserve">. Quanto </w:t>
      </w:r>
      <w:r w:rsidR="009B3535">
        <w:rPr>
          <w:rFonts w:ascii="Times New Roman" w:hAnsi="Times New Roman" w:cs="Times New Roman"/>
          <w:sz w:val="24"/>
          <w:szCs w:val="24"/>
        </w:rPr>
        <w:t>à</w:t>
      </w:r>
      <w:r w:rsidR="00EE723E" w:rsidRPr="008F0953">
        <w:rPr>
          <w:rFonts w:ascii="Times New Roman" w:hAnsi="Times New Roman" w:cs="Times New Roman"/>
          <w:sz w:val="24"/>
          <w:szCs w:val="24"/>
        </w:rPr>
        <w:t xml:space="preserve"> Lei de Pesca, o período que mais se destacou foi o segundo verão analisado coincidindo com a época da piracema com o pico de 15 (5,98%) autuações dentro do período avaliado.  </w:t>
      </w:r>
    </w:p>
    <w:p w:rsidR="00143E49" w:rsidRPr="008D7779" w:rsidRDefault="00143E49" w:rsidP="00143E49">
      <w:pPr>
        <w:tabs>
          <w:tab w:val="right" w:pos="9071"/>
        </w:tabs>
        <w:spacing w:after="0" w:line="360" w:lineRule="auto"/>
        <w:rPr>
          <w:rFonts w:ascii="Times New Roman" w:hAnsi="Times New Roman" w:cs="Times New Roman"/>
          <w:color w:val="FF0000"/>
          <w:sz w:val="24"/>
          <w:szCs w:val="24"/>
        </w:rPr>
      </w:pPr>
    </w:p>
    <w:p w:rsidR="004153D1" w:rsidRPr="005D30B9" w:rsidRDefault="004153D1">
      <w:pPr>
        <w:rPr>
          <w:rFonts w:ascii="Times New Roman" w:hAnsi="Times New Roman" w:cs="Times New Roman"/>
          <w:sz w:val="24"/>
          <w:szCs w:val="24"/>
        </w:rPr>
      </w:pPr>
      <w:r w:rsidRPr="005D30B9">
        <w:rPr>
          <w:rFonts w:ascii="Times New Roman" w:hAnsi="Times New Roman" w:cs="Times New Roman"/>
          <w:sz w:val="24"/>
          <w:szCs w:val="24"/>
        </w:rPr>
        <w:br w:type="page"/>
      </w:r>
    </w:p>
    <w:p w:rsidR="004153D1" w:rsidRPr="00E44715" w:rsidRDefault="00AB1CE1" w:rsidP="00997075">
      <w:pPr>
        <w:tabs>
          <w:tab w:val="right" w:pos="9071"/>
        </w:tabs>
        <w:spacing w:after="0" w:line="36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4</w:t>
      </w:r>
      <w:proofErr w:type="gramEnd"/>
      <w:r w:rsidR="00997075" w:rsidRPr="00E44715">
        <w:rPr>
          <w:rFonts w:ascii="Times New Roman" w:hAnsi="Times New Roman" w:cs="Times New Roman"/>
          <w:b/>
          <w:sz w:val="24"/>
          <w:szCs w:val="24"/>
        </w:rPr>
        <w:t xml:space="preserve"> </w:t>
      </w:r>
      <w:r w:rsidR="004153D1" w:rsidRPr="00E44715">
        <w:rPr>
          <w:rFonts w:ascii="Times New Roman" w:hAnsi="Times New Roman" w:cs="Times New Roman"/>
          <w:b/>
          <w:sz w:val="24"/>
          <w:szCs w:val="24"/>
        </w:rPr>
        <w:t>REFERÊNCIAS</w:t>
      </w:r>
    </w:p>
    <w:p w:rsidR="005077C7" w:rsidRPr="00A24A11" w:rsidRDefault="00915A6F" w:rsidP="00A24A11">
      <w:pPr>
        <w:jc w:val="both"/>
        <w:rPr>
          <w:rFonts w:ascii="Times New Roman" w:hAnsi="Times New Roman" w:cs="Times New Roman"/>
          <w:sz w:val="24"/>
          <w:szCs w:val="24"/>
        </w:rPr>
      </w:pPr>
      <w:r w:rsidRPr="00A24A11">
        <w:rPr>
          <w:rFonts w:ascii="Times New Roman" w:hAnsi="Times New Roman" w:cs="Times New Roman"/>
          <w:sz w:val="24"/>
          <w:szCs w:val="24"/>
        </w:rPr>
        <w:t>BORGES, L. A. C.; REZENDE, J. L. P.; PEREIRA, J. A. A.; JUNIOR, L. M. C.; BARROS, D. A</w:t>
      </w:r>
      <w:r w:rsidR="00201362" w:rsidRPr="00A24A11">
        <w:rPr>
          <w:rFonts w:ascii="Times New Roman" w:hAnsi="Times New Roman" w:cs="Times New Roman"/>
          <w:sz w:val="24"/>
          <w:szCs w:val="24"/>
        </w:rPr>
        <w:t xml:space="preserve">. Áreas De Preservação Permanente na Legislação Ambiental Brasileira. </w:t>
      </w:r>
      <w:r w:rsidR="00201362" w:rsidRPr="00A24A11">
        <w:rPr>
          <w:rFonts w:ascii="Times New Roman" w:hAnsi="Times New Roman" w:cs="Times New Roman"/>
          <w:b/>
          <w:sz w:val="24"/>
          <w:szCs w:val="24"/>
        </w:rPr>
        <w:t>Ciência Rural</w:t>
      </w:r>
      <w:r w:rsidR="00201362" w:rsidRPr="00A24A11">
        <w:rPr>
          <w:rFonts w:ascii="Times New Roman" w:hAnsi="Times New Roman" w:cs="Times New Roman"/>
          <w:sz w:val="24"/>
          <w:szCs w:val="24"/>
        </w:rPr>
        <w:t>, Santa Maria, v. 41, n. 7, p. 1202–1210, 2011.</w:t>
      </w:r>
    </w:p>
    <w:p w:rsidR="005077C7" w:rsidRPr="00A24A11" w:rsidRDefault="00201362" w:rsidP="00A24A11">
      <w:pPr>
        <w:jc w:val="both"/>
        <w:rPr>
          <w:rFonts w:ascii="Times New Roman" w:hAnsi="Times New Roman" w:cs="Times New Roman"/>
          <w:sz w:val="24"/>
          <w:szCs w:val="24"/>
        </w:rPr>
      </w:pPr>
      <w:r w:rsidRPr="00A24A11">
        <w:rPr>
          <w:rFonts w:ascii="Times New Roman" w:hAnsi="Times New Roman" w:cs="Times New Roman"/>
          <w:sz w:val="24"/>
          <w:szCs w:val="24"/>
          <w:shd w:val="clear" w:color="auto" w:fill="FFFFFF"/>
        </w:rPr>
        <w:t xml:space="preserve">BRASIL. Constituição (1967). Lei nº 5.197, de </w:t>
      </w:r>
      <w:proofErr w:type="gramStart"/>
      <w:r w:rsidRPr="00A24A11">
        <w:rPr>
          <w:rFonts w:ascii="Times New Roman" w:hAnsi="Times New Roman" w:cs="Times New Roman"/>
          <w:sz w:val="24"/>
          <w:szCs w:val="24"/>
          <w:shd w:val="clear" w:color="auto" w:fill="FFFFFF"/>
        </w:rPr>
        <w:t>3</w:t>
      </w:r>
      <w:proofErr w:type="gramEnd"/>
      <w:r w:rsidRPr="00A24A11">
        <w:rPr>
          <w:rFonts w:ascii="Times New Roman" w:hAnsi="Times New Roman" w:cs="Times New Roman"/>
          <w:sz w:val="24"/>
          <w:szCs w:val="24"/>
          <w:shd w:val="clear" w:color="auto" w:fill="FFFFFF"/>
        </w:rPr>
        <w:t xml:space="preserve"> de janeiro de 1967. Dispõe sobre a Proteção à Fauna</w:t>
      </w:r>
      <w:r w:rsidRPr="00A24A11">
        <w:rPr>
          <w:rFonts w:ascii="Times New Roman" w:hAnsi="Times New Roman" w:cs="Times New Roman"/>
          <w:b/>
          <w:sz w:val="24"/>
          <w:szCs w:val="24"/>
          <w:shd w:val="clear" w:color="auto" w:fill="FFFFFF"/>
        </w:rPr>
        <w:t>.</w:t>
      </w:r>
      <w:r w:rsidRPr="00A24A11">
        <w:rPr>
          <w:rStyle w:val="apple-converted-space"/>
          <w:rFonts w:ascii="Times New Roman" w:hAnsi="Times New Roman" w:cs="Times New Roman"/>
          <w:b/>
          <w:sz w:val="24"/>
          <w:szCs w:val="24"/>
          <w:shd w:val="clear" w:color="auto" w:fill="FFFFFF"/>
        </w:rPr>
        <w:t> </w:t>
      </w:r>
      <w:r w:rsidRPr="00A24A11">
        <w:rPr>
          <w:rStyle w:val="Forte"/>
          <w:rFonts w:ascii="Times New Roman" w:hAnsi="Times New Roman" w:cs="Times New Roman"/>
          <w:b w:val="0"/>
          <w:sz w:val="24"/>
          <w:szCs w:val="24"/>
          <w:shd w:val="clear" w:color="auto" w:fill="FFFFFF"/>
        </w:rPr>
        <w:t xml:space="preserve">Lei N° 5.197, de </w:t>
      </w:r>
      <w:proofErr w:type="gramStart"/>
      <w:r w:rsidRPr="00A24A11">
        <w:rPr>
          <w:rStyle w:val="Forte"/>
          <w:rFonts w:ascii="Times New Roman" w:hAnsi="Times New Roman" w:cs="Times New Roman"/>
          <w:b w:val="0"/>
          <w:sz w:val="24"/>
          <w:szCs w:val="24"/>
          <w:shd w:val="clear" w:color="auto" w:fill="FFFFFF"/>
        </w:rPr>
        <w:t>3</w:t>
      </w:r>
      <w:proofErr w:type="gramEnd"/>
      <w:r w:rsidRPr="00A24A11">
        <w:rPr>
          <w:rStyle w:val="Forte"/>
          <w:rFonts w:ascii="Times New Roman" w:hAnsi="Times New Roman" w:cs="Times New Roman"/>
          <w:b w:val="0"/>
          <w:sz w:val="24"/>
          <w:szCs w:val="24"/>
          <w:shd w:val="clear" w:color="auto" w:fill="FFFFFF"/>
        </w:rPr>
        <w:t xml:space="preserve"> de Janeiro de 1967</w:t>
      </w:r>
      <w:r w:rsidRPr="00A24A11">
        <w:rPr>
          <w:rFonts w:ascii="Times New Roman" w:hAnsi="Times New Roman" w:cs="Times New Roman"/>
          <w:sz w:val="24"/>
          <w:szCs w:val="24"/>
          <w:shd w:val="clear" w:color="auto" w:fill="FFFFFF"/>
        </w:rPr>
        <w:t xml:space="preserve">. Brasília, DF, Disponível em: &lt;http://www.planalto.gov.br/ccivil_03/leis/L5197.htm&gt;. Acesso em: </w:t>
      </w:r>
      <w:proofErr w:type="gramStart"/>
      <w:r w:rsidRPr="00A24A11">
        <w:rPr>
          <w:rFonts w:ascii="Times New Roman" w:hAnsi="Times New Roman" w:cs="Times New Roman"/>
          <w:sz w:val="24"/>
          <w:szCs w:val="24"/>
          <w:shd w:val="clear" w:color="auto" w:fill="FFFFFF"/>
        </w:rPr>
        <w:t>3</w:t>
      </w:r>
      <w:proofErr w:type="gramEnd"/>
      <w:r w:rsidRPr="00A24A11">
        <w:rPr>
          <w:rFonts w:ascii="Times New Roman" w:hAnsi="Times New Roman" w:cs="Times New Roman"/>
          <w:sz w:val="24"/>
          <w:szCs w:val="24"/>
          <w:shd w:val="clear" w:color="auto" w:fill="FFFFFF"/>
        </w:rPr>
        <w:t xml:space="preserve"> out. 2016.</w:t>
      </w:r>
      <w:r w:rsidRPr="00A24A11">
        <w:rPr>
          <w:rFonts w:ascii="Times New Roman" w:hAnsi="Times New Roman" w:cs="Times New Roman"/>
          <w:sz w:val="24"/>
          <w:szCs w:val="24"/>
        </w:rPr>
        <w:t xml:space="preserve"> </w:t>
      </w:r>
    </w:p>
    <w:p w:rsidR="005077C7" w:rsidRPr="00A24A11" w:rsidRDefault="00201362" w:rsidP="00A24A11">
      <w:pPr>
        <w:jc w:val="both"/>
        <w:rPr>
          <w:rFonts w:ascii="Times New Roman" w:hAnsi="Times New Roman" w:cs="Times New Roman"/>
          <w:sz w:val="24"/>
          <w:szCs w:val="24"/>
        </w:rPr>
      </w:pPr>
      <w:r w:rsidRPr="00A24A11">
        <w:rPr>
          <w:rFonts w:ascii="Times New Roman" w:hAnsi="Times New Roman" w:cs="Times New Roman"/>
          <w:sz w:val="24"/>
          <w:szCs w:val="24"/>
          <w:shd w:val="clear" w:color="auto" w:fill="FFFFFF"/>
        </w:rPr>
        <w:t xml:space="preserve">BRASIL. Constituição (2009). Lei nº 11959, de 29 de junho de 2009. Dispõe sobre a Política Nacional de Desenvolvimento Sustentável da Aquicultura e da Pesca, regula as atividades pesqueiras, revoga a Lei no 7.679, de 23 de novembro de 1988, e dispositivos do Decreto-Lei </w:t>
      </w:r>
      <w:proofErr w:type="gramStart"/>
      <w:r w:rsidRPr="00A24A11">
        <w:rPr>
          <w:rFonts w:ascii="Times New Roman" w:hAnsi="Times New Roman" w:cs="Times New Roman"/>
          <w:sz w:val="24"/>
          <w:szCs w:val="24"/>
          <w:shd w:val="clear" w:color="auto" w:fill="FFFFFF"/>
        </w:rPr>
        <w:t>no 221</w:t>
      </w:r>
      <w:proofErr w:type="gramEnd"/>
      <w:r w:rsidRPr="00A24A11">
        <w:rPr>
          <w:rFonts w:ascii="Times New Roman" w:hAnsi="Times New Roman" w:cs="Times New Roman"/>
          <w:sz w:val="24"/>
          <w:szCs w:val="24"/>
          <w:shd w:val="clear" w:color="auto" w:fill="FFFFFF"/>
        </w:rPr>
        <w:t>, de 28 de fevereiro de 1967, e dá outras providências..</w:t>
      </w:r>
      <w:r w:rsidRPr="00A24A11">
        <w:rPr>
          <w:rStyle w:val="apple-converted-space"/>
          <w:rFonts w:ascii="Times New Roman" w:hAnsi="Times New Roman" w:cs="Times New Roman"/>
          <w:sz w:val="24"/>
          <w:szCs w:val="24"/>
          <w:shd w:val="clear" w:color="auto" w:fill="FFFFFF"/>
        </w:rPr>
        <w:t> </w:t>
      </w:r>
      <w:r w:rsidRPr="00A24A11">
        <w:rPr>
          <w:rStyle w:val="Forte"/>
          <w:rFonts w:ascii="Times New Roman" w:hAnsi="Times New Roman" w:cs="Times New Roman"/>
          <w:b w:val="0"/>
          <w:sz w:val="24"/>
          <w:szCs w:val="24"/>
          <w:shd w:val="clear" w:color="auto" w:fill="FFFFFF"/>
        </w:rPr>
        <w:t>Lei Nº</w:t>
      </w:r>
      <w:r w:rsidR="000665F7" w:rsidRPr="00A24A11">
        <w:rPr>
          <w:rStyle w:val="Forte"/>
          <w:rFonts w:ascii="Times New Roman" w:hAnsi="Times New Roman" w:cs="Times New Roman"/>
          <w:b w:val="0"/>
          <w:sz w:val="24"/>
          <w:szCs w:val="24"/>
          <w:shd w:val="clear" w:color="auto" w:fill="FFFFFF"/>
        </w:rPr>
        <w:t xml:space="preserve"> 11.959, de 29 de Junho de 2009</w:t>
      </w:r>
      <w:r w:rsidRPr="00A24A11">
        <w:rPr>
          <w:rFonts w:ascii="Times New Roman" w:hAnsi="Times New Roman" w:cs="Times New Roman"/>
          <w:b/>
          <w:sz w:val="24"/>
          <w:szCs w:val="24"/>
          <w:shd w:val="clear" w:color="auto" w:fill="FFFFFF"/>
        </w:rPr>
        <w:t>.</w:t>
      </w:r>
      <w:r w:rsidRPr="00A24A11">
        <w:rPr>
          <w:rFonts w:ascii="Times New Roman" w:hAnsi="Times New Roman" w:cs="Times New Roman"/>
          <w:sz w:val="24"/>
          <w:szCs w:val="24"/>
          <w:shd w:val="clear" w:color="auto" w:fill="FFFFFF"/>
        </w:rPr>
        <w:t xml:space="preserve"> </w:t>
      </w:r>
      <w:proofErr w:type="spellStart"/>
      <w:proofErr w:type="gramStart"/>
      <w:r w:rsidRPr="00A24A11">
        <w:rPr>
          <w:rFonts w:ascii="Times New Roman" w:hAnsi="Times New Roman" w:cs="Times New Roman"/>
          <w:sz w:val="24"/>
          <w:szCs w:val="24"/>
          <w:shd w:val="clear" w:color="auto" w:fill="FFFFFF"/>
        </w:rPr>
        <w:t>Brasilia</w:t>
      </w:r>
      <w:proofErr w:type="spellEnd"/>
      <w:r w:rsidRPr="00A24A11">
        <w:rPr>
          <w:rFonts w:ascii="Times New Roman" w:hAnsi="Times New Roman" w:cs="Times New Roman"/>
          <w:sz w:val="24"/>
          <w:szCs w:val="24"/>
          <w:shd w:val="clear" w:color="auto" w:fill="FFFFFF"/>
        </w:rPr>
        <w:t xml:space="preserve"> ,</w:t>
      </w:r>
      <w:proofErr w:type="gramEnd"/>
      <w:r w:rsidRPr="00A24A11">
        <w:rPr>
          <w:rFonts w:ascii="Times New Roman" w:hAnsi="Times New Roman" w:cs="Times New Roman"/>
          <w:sz w:val="24"/>
          <w:szCs w:val="24"/>
          <w:shd w:val="clear" w:color="auto" w:fill="FFFFFF"/>
        </w:rPr>
        <w:t xml:space="preserve"> DF, Disponível em: &lt;http://www.planalto.gov.br/ccivil_03/_ato2007-2010/2009/Lei/L11959.htm&gt;. Acesso em: 05 out. 2016.</w:t>
      </w:r>
    </w:p>
    <w:p w:rsidR="005077C7" w:rsidRPr="00A24A11" w:rsidRDefault="00A77722" w:rsidP="00A24A11">
      <w:pPr>
        <w:jc w:val="both"/>
        <w:rPr>
          <w:rFonts w:ascii="Times New Roman" w:hAnsi="Times New Roman" w:cs="Times New Roman"/>
          <w:sz w:val="24"/>
          <w:szCs w:val="24"/>
        </w:rPr>
      </w:pPr>
      <w:r w:rsidRPr="00A24A11">
        <w:rPr>
          <w:rFonts w:ascii="Times New Roman" w:hAnsi="Times New Roman" w:cs="Times New Roman"/>
          <w:sz w:val="24"/>
          <w:szCs w:val="24"/>
        </w:rPr>
        <w:t xml:space="preserve">DURIGAN, G.; ENGEL, V. L.; TOREZAN, J. M.; </w:t>
      </w:r>
      <w:proofErr w:type="gramStart"/>
      <w:r w:rsidRPr="00A24A11">
        <w:rPr>
          <w:rFonts w:ascii="Times New Roman" w:hAnsi="Times New Roman" w:cs="Times New Roman"/>
          <w:sz w:val="24"/>
          <w:szCs w:val="24"/>
        </w:rPr>
        <w:t>MELO,</w:t>
      </w:r>
      <w:proofErr w:type="gramEnd"/>
      <w:r w:rsidRPr="00A24A11">
        <w:rPr>
          <w:rFonts w:ascii="Times New Roman" w:hAnsi="Times New Roman" w:cs="Times New Roman"/>
          <w:sz w:val="24"/>
          <w:szCs w:val="24"/>
        </w:rPr>
        <w:t xml:space="preserve"> C. G.; MARQUES, M. C. M.; MARTINS, S. V.; REIS, A.; SCARANO, F. R</w:t>
      </w:r>
      <w:r w:rsidR="00201362" w:rsidRPr="00A24A11">
        <w:rPr>
          <w:rFonts w:ascii="Times New Roman" w:hAnsi="Times New Roman" w:cs="Times New Roman"/>
          <w:sz w:val="24"/>
          <w:szCs w:val="24"/>
        </w:rPr>
        <w:t xml:space="preserve">. Normas jurídicas para a restauração ecológica: uma barreira a mais a dificultar o êxito das iniciativas? </w:t>
      </w:r>
      <w:r w:rsidR="00201362" w:rsidRPr="00A24A11">
        <w:rPr>
          <w:rFonts w:ascii="Times New Roman" w:hAnsi="Times New Roman" w:cs="Times New Roman"/>
          <w:b/>
          <w:sz w:val="24"/>
          <w:szCs w:val="24"/>
        </w:rPr>
        <w:t>Revista Árvore</w:t>
      </w:r>
      <w:r w:rsidR="00201362" w:rsidRPr="00A24A11">
        <w:rPr>
          <w:rFonts w:ascii="Times New Roman" w:hAnsi="Times New Roman" w:cs="Times New Roman"/>
          <w:sz w:val="24"/>
          <w:szCs w:val="24"/>
        </w:rPr>
        <w:t xml:space="preserve">, v. 34, n. 3, p. 471–485, 2010. </w:t>
      </w:r>
    </w:p>
    <w:p w:rsidR="005077C7" w:rsidRPr="00A24A11" w:rsidRDefault="00201362" w:rsidP="00A24A11">
      <w:pPr>
        <w:jc w:val="both"/>
        <w:rPr>
          <w:rFonts w:ascii="Times New Roman" w:hAnsi="Times New Roman" w:cs="Times New Roman"/>
          <w:sz w:val="24"/>
          <w:szCs w:val="24"/>
        </w:rPr>
      </w:pPr>
      <w:r w:rsidRPr="00A24A11">
        <w:rPr>
          <w:rFonts w:ascii="Times New Roman" w:hAnsi="Times New Roman" w:cs="Times New Roman"/>
          <w:sz w:val="24"/>
          <w:szCs w:val="24"/>
        </w:rPr>
        <w:t xml:space="preserve">FINK, D. R. Os Crimes Ambientais e a Fiscalização Ambiental. </w:t>
      </w:r>
      <w:proofErr w:type="gramStart"/>
      <w:r w:rsidRPr="00A24A11">
        <w:rPr>
          <w:rFonts w:ascii="Times New Roman" w:hAnsi="Times New Roman" w:cs="Times New Roman"/>
          <w:sz w:val="24"/>
          <w:szCs w:val="24"/>
        </w:rPr>
        <w:t>p.</w:t>
      </w:r>
      <w:proofErr w:type="gramEnd"/>
      <w:r w:rsidRPr="00A24A11">
        <w:rPr>
          <w:rFonts w:ascii="Times New Roman" w:hAnsi="Times New Roman" w:cs="Times New Roman"/>
          <w:sz w:val="24"/>
          <w:szCs w:val="24"/>
        </w:rPr>
        <w:t xml:space="preserve"> 1–7, 1992. </w:t>
      </w:r>
    </w:p>
    <w:p w:rsidR="00201362" w:rsidRPr="00A24A11" w:rsidRDefault="00201362" w:rsidP="00A24A11">
      <w:pPr>
        <w:jc w:val="both"/>
        <w:rPr>
          <w:rFonts w:ascii="Times New Roman" w:hAnsi="Times New Roman" w:cs="Times New Roman"/>
          <w:sz w:val="24"/>
          <w:szCs w:val="24"/>
        </w:rPr>
      </w:pPr>
      <w:r w:rsidRPr="00A24A11">
        <w:rPr>
          <w:rFonts w:ascii="Times New Roman" w:hAnsi="Times New Roman" w:cs="Times New Roman"/>
          <w:sz w:val="24"/>
          <w:szCs w:val="24"/>
        </w:rPr>
        <w:t xml:space="preserve">NEUMANN, P. S.; LOCH, C. Legislação Ambiental, Desenvolvimento Rural E Práticas Agrícolas. </w:t>
      </w:r>
      <w:r w:rsidRPr="00A24A11">
        <w:rPr>
          <w:rFonts w:ascii="Times New Roman" w:hAnsi="Times New Roman" w:cs="Times New Roman"/>
          <w:b/>
          <w:sz w:val="24"/>
          <w:szCs w:val="24"/>
        </w:rPr>
        <w:t>Ciência Rural</w:t>
      </w:r>
      <w:r w:rsidRPr="00A24A11">
        <w:rPr>
          <w:rFonts w:ascii="Times New Roman" w:hAnsi="Times New Roman" w:cs="Times New Roman"/>
          <w:sz w:val="24"/>
          <w:szCs w:val="24"/>
        </w:rPr>
        <w:t xml:space="preserve">, v. 32, n. 2, p. 243–249, 2002. </w:t>
      </w:r>
    </w:p>
    <w:p w:rsidR="00201362" w:rsidRPr="00A24A11" w:rsidRDefault="00915A6F" w:rsidP="00A24A11">
      <w:pPr>
        <w:jc w:val="both"/>
        <w:rPr>
          <w:rFonts w:ascii="Times New Roman" w:hAnsi="Times New Roman" w:cs="Times New Roman"/>
          <w:sz w:val="24"/>
          <w:szCs w:val="24"/>
        </w:rPr>
      </w:pPr>
      <w:r w:rsidRPr="00A24A11">
        <w:rPr>
          <w:rFonts w:ascii="Times New Roman" w:hAnsi="Times New Roman" w:cs="Times New Roman"/>
          <w:sz w:val="24"/>
          <w:szCs w:val="24"/>
        </w:rPr>
        <w:t xml:space="preserve">FONSECA, A. M. T.; VALENTE, L. </w:t>
      </w:r>
      <w:r w:rsidR="00A77722" w:rsidRPr="00A24A11">
        <w:rPr>
          <w:rFonts w:ascii="Times New Roman" w:hAnsi="Times New Roman" w:cs="Times New Roman"/>
          <w:sz w:val="24"/>
          <w:szCs w:val="24"/>
        </w:rPr>
        <w:t>M.; LOPES, M. C</w:t>
      </w:r>
      <w:r w:rsidR="00201362" w:rsidRPr="00A24A11">
        <w:rPr>
          <w:rFonts w:ascii="Times New Roman" w:hAnsi="Times New Roman" w:cs="Times New Roman"/>
          <w:sz w:val="24"/>
          <w:szCs w:val="24"/>
        </w:rPr>
        <w:t xml:space="preserve">. Diagnóstico Dos Crimes Contra a Flora a Partir Das Ações Impetradas Pelo Ministério Público Federal </w:t>
      </w:r>
      <w:proofErr w:type="spellStart"/>
      <w:r w:rsidR="00201362" w:rsidRPr="00A24A11">
        <w:rPr>
          <w:rFonts w:ascii="Times New Roman" w:hAnsi="Times New Roman" w:cs="Times New Roman"/>
          <w:sz w:val="24"/>
          <w:szCs w:val="24"/>
        </w:rPr>
        <w:t>Diagnosis</w:t>
      </w:r>
      <w:proofErr w:type="spellEnd"/>
      <w:r w:rsidR="00201362" w:rsidRPr="00A24A11">
        <w:rPr>
          <w:rFonts w:ascii="Times New Roman" w:hAnsi="Times New Roman" w:cs="Times New Roman"/>
          <w:sz w:val="24"/>
          <w:szCs w:val="24"/>
        </w:rPr>
        <w:t xml:space="preserve"> </w:t>
      </w:r>
      <w:proofErr w:type="spellStart"/>
      <w:r w:rsidR="00201362" w:rsidRPr="00A24A11">
        <w:rPr>
          <w:rFonts w:ascii="Times New Roman" w:hAnsi="Times New Roman" w:cs="Times New Roman"/>
          <w:sz w:val="24"/>
          <w:szCs w:val="24"/>
        </w:rPr>
        <w:t>of</w:t>
      </w:r>
      <w:proofErr w:type="spellEnd"/>
      <w:r w:rsidR="00201362" w:rsidRPr="00A24A11">
        <w:rPr>
          <w:rFonts w:ascii="Times New Roman" w:hAnsi="Times New Roman" w:cs="Times New Roman"/>
          <w:sz w:val="24"/>
          <w:szCs w:val="24"/>
        </w:rPr>
        <w:t xml:space="preserve"> Crimes </w:t>
      </w:r>
      <w:proofErr w:type="spellStart"/>
      <w:r w:rsidR="00201362" w:rsidRPr="00A24A11">
        <w:rPr>
          <w:rFonts w:ascii="Times New Roman" w:hAnsi="Times New Roman" w:cs="Times New Roman"/>
          <w:sz w:val="24"/>
          <w:szCs w:val="24"/>
        </w:rPr>
        <w:t>Against</w:t>
      </w:r>
      <w:proofErr w:type="spellEnd"/>
      <w:r w:rsidR="00201362" w:rsidRPr="00A24A11">
        <w:rPr>
          <w:rFonts w:ascii="Times New Roman" w:hAnsi="Times New Roman" w:cs="Times New Roman"/>
          <w:sz w:val="24"/>
          <w:szCs w:val="24"/>
        </w:rPr>
        <w:t xml:space="preserve"> </w:t>
      </w:r>
      <w:proofErr w:type="spellStart"/>
      <w:r w:rsidR="00201362" w:rsidRPr="00A24A11">
        <w:rPr>
          <w:rFonts w:ascii="Times New Roman" w:hAnsi="Times New Roman" w:cs="Times New Roman"/>
          <w:sz w:val="24"/>
          <w:szCs w:val="24"/>
        </w:rPr>
        <w:t>the</w:t>
      </w:r>
      <w:proofErr w:type="spellEnd"/>
      <w:r w:rsidR="00201362" w:rsidRPr="00A24A11">
        <w:rPr>
          <w:rFonts w:ascii="Times New Roman" w:hAnsi="Times New Roman" w:cs="Times New Roman"/>
          <w:sz w:val="24"/>
          <w:szCs w:val="24"/>
        </w:rPr>
        <w:t xml:space="preserve"> Flora </w:t>
      </w:r>
      <w:proofErr w:type="spellStart"/>
      <w:r w:rsidR="00201362" w:rsidRPr="00A24A11">
        <w:rPr>
          <w:rFonts w:ascii="Times New Roman" w:hAnsi="Times New Roman" w:cs="Times New Roman"/>
          <w:sz w:val="24"/>
          <w:szCs w:val="24"/>
        </w:rPr>
        <w:t>From</w:t>
      </w:r>
      <w:proofErr w:type="spellEnd"/>
      <w:r w:rsidR="00201362" w:rsidRPr="00A24A11">
        <w:rPr>
          <w:rFonts w:ascii="Times New Roman" w:hAnsi="Times New Roman" w:cs="Times New Roman"/>
          <w:sz w:val="24"/>
          <w:szCs w:val="24"/>
        </w:rPr>
        <w:t xml:space="preserve"> </w:t>
      </w:r>
      <w:proofErr w:type="spellStart"/>
      <w:r w:rsidR="00201362" w:rsidRPr="00A24A11">
        <w:rPr>
          <w:rFonts w:ascii="Times New Roman" w:hAnsi="Times New Roman" w:cs="Times New Roman"/>
          <w:sz w:val="24"/>
          <w:szCs w:val="24"/>
        </w:rPr>
        <w:t>Lawsuits</w:t>
      </w:r>
      <w:proofErr w:type="spellEnd"/>
      <w:r w:rsidR="00201362" w:rsidRPr="00A24A11">
        <w:rPr>
          <w:rFonts w:ascii="Times New Roman" w:hAnsi="Times New Roman" w:cs="Times New Roman"/>
          <w:sz w:val="24"/>
          <w:szCs w:val="24"/>
        </w:rPr>
        <w:t xml:space="preserve"> </w:t>
      </w:r>
      <w:proofErr w:type="spellStart"/>
      <w:r w:rsidR="00201362" w:rsidRPr="00A24A11">
        <w:rPr>
          <w:rFonts w:ascii="Times New Roman" w:hAnsi="Times New Roman" w:cs="Times New Roman"/>
          <w:sz w:val="24"/>
          <w:szCs w:val="24"/>
        </w:rPr>
        <w:t>Filed</w:t>
      </w:r>
      <w:proofErr w:type="spellEnd"/>
      <w:r w:rsidR="00201362" w:rsidRPr="00A24A11">
        <w:rPr>
          <w:rFonts w:ascii="Times New Roman" w:hAnsi="Times New Roman" w:cs="Times New Roman"/>
          <w:sz w:val="24"/>
          <w:szCs w:val="24"/>
        </w:rPr>
        <w:t xml:space="preserve"> </w:t>
      </w:r>
      <w:proofErr w:type="spellStart"/>
      <w:r w:rsidR="00201362" w:rsidRPr="00A24A11">
        <w:rPr>
          <w:rFonts w:ascii="Times New Roman" w:hAnsi="Times New Roman" w:cs="Times New Roman"/>
          <w:sz w:val="24"/>
          <w:szCs w:val="24"/>
        </w:rPr>
        <w:t>By</w:t>
      </w:r>
      <w:proofErr w:type="spellEnd"/>
      <w:r w:rsidR="00201362" w:rsidRPr="00A24A11">
        <w:rPr>
          <w:rFonts w:ascii="Times New Roman" w:hAnsi="Times New Roman" w:cs="Times New Roman"/>
          <w:sz w:val="24"/>
          <w:szCs w:val="24"/>
        </w:rPr>
        <w:t xml:space="preserve"> Federal </w:t>
      </w:r>
      <w:proofErr w:type="spellStart"/>
      <w:r w:rsidR="00201362" w:rsidRPr="00A24A11">
        <w:rPr>
          <w:rFonts w:ascii="Times New Roman" w:hAnsi="Times New Roman" w:cs="Times New Roman"/>
          <w:sz w:val="24"/>
          <w:szCs w:val="24"/>
        </w:rPr>
        <w:t>Prosecutors</w:t>
      </w:r>
      <w:proofErr w:type="spellEnd"/>
      <w:r w:rsidR="00201362" w:rsidRPr="00A24A11">
        <w:rPr>
          <w:rFonts w:ascii="Times New Roman" w:hAnsi="Times New Roman" w:cs="Times New Roman"/>
          <w:sz w:val="24"/>
          <w:szCs w:val="24"/>
        </w:rPr>
        <w:t xml:space="preserve">. </w:t>
      </w:r>
      <w:proofErr w:type="gramStart"/>
      <w:r w:rsidR="00201362" w:rsidRPr="00A24A11">
        <w:rPr>
          <w:rFonts w:ascii="Times New Roman" w:hAnsi="Times New Roman" w:cs="Times New Roman"/>
          <w:sz w:val="24"/>
          <w:szCs w:val="24"/>
        </w:rPr>
        <w:t>v.</w:t>
      </w:r>
      <w:proofErr w:type="gramEnd"/>
      <w:r w:rsidR="00201362" w:rsidRPr="00A24A11">
        <w:rPr>
          <w:rFonts w:ascii="Times New Roman" w:hAnsi="Times New Roman" w:cs="Times New Roman"/>
          <w:sz w:val="24"/>
          <w:szCs w:val="24"/>
        </w:rPr>
        <w:t xml:space="preserve"> 3694, p. 122–140, 2013. </w:t>
      </w:r>
    </w:p>
    <w:p w:rsidR="00201362" w:rsidRPr="00A24A11" w:rsidRDefault="00201362" w:rsidP="00A24A11">
      <w:pPr>
        <w:jc w:val="both"/>
        <w:rPr>
          <w:rFonts w:ascii="Times New Roman" w:hAnsi="Times New Roman" w:cs="Times New Roman"/>
          <w:sz w:val="24"/>
          <w:szCs w:val="24"/>
        </w:rPr>
      </w:pPr>
      <w:r w:rsidRPr="00A24A11">
        <w:rPr>
          <w:rFonts w:ascii="Times New Roman" w:hAnsi="Times New Roman" w:cs="Times New Roman"/>
          <w:sz w:val="24"/>
          <w:szCs w:val="24"/>
        </w:rPr>
        <w:t>PEREIRA, R. F.; BRILHA, J</w:t>
      </w:r>
      <w:proofErr w:type="gramStart"/>
      <w:r w:rsidRPr="00A24A11">
        <w:rPr>
          <w:rFonts w:ascii="Times New Roman" w:hAnsi="Times New Roman" w:cs="Times New Roman"/>
          <w:sz w:val="24"/>
          <w:szCs w:val="24"/>
        </w:rPr>
        <w:t>.;</w:t>
      </w:r>
      <w:proofErr w:type="gramEnd"/>
      <w:r w:rsidRPr="00A24A11">
        <w:rPr>
          <w:rFonts w:ascii="Times New Roman" w:hAnsi="Times New Roman" w:cs="Times New Roman"/>
          <w:sz w:val="24"/>
          <w:szCs w:val="24"/>
        </w:rPr>
        <w:t xml:space="preserve"> MARTINEZ, J. E. Proposta de enquadramento da </w:t>
      </w:r>
      <w:proofErr w:type="spellStart"/>
      <w:r w:rsidRPr="00A24A11">
        <w:rPr>
          <w:rFonts w:ascii="Times New Roman" w:hAnsi="Times New Roman" w:cs="Times New Roman"/>
          <w:sz w:val="24"/>
          <w:szCs w:val="24"/>
        </w:rPr>
        <w:t>geoconservação</w:t>
      </w:r>
      <w:proofErr w:type="spellEnd"/>
      <w:r w:rsidRPr="00A24A11">
        <w:rPr>
          <w:rFonts w:ascii="Times New Roman" w:hAnsi="Times New Roman" w:cs="Times New Roman"/>
          <w:sz w:val="24"/>
          <w:szCs w:val="24"/>
        </w:rPr>
        <w:t xml:space="preserve"> na legislação ambiental brasileira. </w:t>
      </w:r>
      <w:r w:rsidRPr="00A24A11">
        <w:rPr>
          <w:rFonts w:ascii="Times New Roman" w:hAnsi="Times New Roman" w:cs="Times New Roman"/>
          <w:b/>
          <w:sz w:val="24"/>
          <w:szCs w:val="24"/>
        </w:rPr>
        <w:t>Memórias e Notícias</w:t>
      </w:r>
      <w:r w:rsidRPr="00A24A11">
        <w:rPr>
          <w:rFonts w:ascii="Times New Roman" w:hAnsi="Times New Roman" w:cs="Times New Roman"/>
          <w:sz w:val="24"/>
          <w:szCs w:val="24"/>
        </w:rPr>
        <w:t xml:space="preserve">, v. 3, n. 1, p. 491–494, 2008. </w:t>
      </w:r>
    </w:p>
    <w:p w:rsidR="00201362" w:rsidRPr="00A24A11" w:rsidRDefault="00201362" w:rsidP="00A24A11">
      <w:pPr>
        <w:jc w:val="both"/>
        <w:rPr>
          <w:rFonts w:ascii="Times New Roman" w:hAnsi="Times New Roman" w:cs="Times New Roman"/>
          <w:sz w:val="24"/>
          <w:szCs w:val="24"/>
        </w:rPr>
      </w:pPr>
      <w:proofErr w:type="gramStart"/>
      <w:r w:rsidRPr="00A24A11">
        <w:rPr>
          <w:rFonts w:ascii="Times New Roman" w:hAnsi="Times New Roman" w:cs="Times New Roman"/>
          <w:sz w:val="24"/>
          <w:szCs w:val="24"/>
        </w:rPr>
        <w:t>Portalmeioambiente.</w:t>
      </w:r>
      <w:proofErr w:type="gramEnd"/>
      <w:r w:rsidRPr="00A24A11">
        <w:rPr>
          <w:rFonts w:ascii="Times New Roman" w:hAnsi="Times New Roman" w:cs="Times New Roman"/>
          <w:sz w:val="24"/>
          <w:szCs w:val="24"/>
        </w:rPr>
        <w:t xml:space="preserve">mg, auto de infração, disponível em &lt; </w:t>
      </w:r>
      <w:hyperlink r:id="rId16" w:history="1">
        <w:r w:rsidRPr="00A24A11">
          <w:rPr>
            <w:rStyle w:val="Hyperlink"/>
            <w:rFonts w:ascii="Times New Roman" w:hAnsi="Times New Roman" w:cs="Times New Roman"/>
            <w:color w:val="auto"/>
            <w:sz w:val="24"/>
            <w:szCs w:val="24"/>
          </w:rPr>
          <w:t>http://www.meioambiente.mg.gov.br/fiscalizacao/autos-de-infracao</w:t>
        </w:r>
      </w:hyperlink>
      <w:r w:rsidRPr="00A24A11">
        <w:rPr>
          <w:rFonts w:ascii="Times New Roman" w:hAnsi="Times New Roman" w:cs="Times New Roman"/>
          <w:sz w:val="24"/>
          <w:szCs w:val="24"/>
        </w:rPr>
        <w:t>&gt;, acessado em 05 de outubro de 2016.</w:t>
      </w:r>
    </w:p>
    <w:p w:rsidR="00201362" w:rsidRPr="00A24A11" w:rsidRDefault="00201362" w:rsidP="00A24A11">
      <w:pPr>
        <w:jc w:val="both"/>
        <w:rPr>
          <w:rFonts w:ascii="Times New Roman" w:hAnsi="Times New Roman" w:cs="Times New Roman"/>
          <w:sz w:val="24"/>
          <w:szCs w:val="24"/>
        </w:rPr>
      </w:pPr>
      <w:proofErr w:type="gramStart"/>
      <w:r w:rsidRPr="00A24A11">
        <w:rPr>
          <w:rFonts w:ascii="Times New Roman" w:hAnsi="Times New Roman" w:cs="Times New Roman"/>
          <w:sz w:val="24"/>
          <w:szCs w:val="24"/>
        </w:rPr>
        <w:t>Portalmeioambiente.</w:t>
      </w:r>
      <w:proofErr w:type="gramEnd"/>
      <w:r w:rsidRPr="00A24A11">
        <w:rPr>
          <w:rFonts w:ascii="Times New Roman" w:hAnsi="Times New Roman" w:cs="Times New Roman"/>
          <w:sz w:val="24"/>
          <w:szCs w:val="24"/>
        </w:rPr>
        <w:t>mg, piracema, disponível em &lt;</w:t>
      </w:r>
      <w:r w:rsidRPr="00A24A11">
        <w:rPr>
          <w:rFonts w:ascii="Times New Roman" w:hAnsi="Times New Roman" w:cs="Times New Roman"/>
        </w:rPr>
        <w:t xml:space="preserve"> </w:t>
      </w:r>
      <w:hyperlink r:id="rId17" w:history="1">
        <w:r w:rsidRPr="00A24A11">
          <w:rPr>
            <w:rStyle w:val="Hyperlink"/>
            <w:rFonts w:ascii="Times New Roman" w:hAnsi="Times New Roman" w:cs="Times New Roman"/>
            <w:color w:val="auto"/>
            <w:sz w:val="24"/>
            <w:szCs w:val="24"/>
          </w:rPr>
          <w:t>http://www.ief.mg.gov.br/pesca/piracema</w:t>
        </w:r>
      </w:hyperlink>
      <w:r w:rsidRPr="00A24A11">
        <w:rPr>
          <w:rFonts w:ascii="Times New Roman" w:hAnsi="Times New Roman" w:cs="Times New Roman"/>
          <w:sz w:val="24"/>
          <w:szCs w:val="24"/>
        </w:rPr>
        <w:t>&gt;, acessado em 5 de novembro de 2016.</w:t>
      </w:r>
    </w:p>
    <w:p w:rsidR="00201362" w:rsidRPr="00A24A11" w:rsidRDefault="00201362" w:rsidP="00A24A11">
      <w:pPr>
        <w:jc w:val="both"/>
        <w:rPr>
          <w:rFonts w:ascii="Times New Roman" w:hAnsi="Times New Roman" w:cs="Times New Roman"/>
          <w:sz w:val="24"/>
          <w:szCs w:val="24"/>
        </w:rPr>
      </w:pPr>
      <w:proofErr w:type="gramStart"/>
      <w:r w:rsidRPr="00A24A11">
        <w:rPr>
          <w:rFonts w:ascii="Times New Roman" w:hAnsi="Times New Roman" w:cs="Times New Roman"/>
          <w:sz w:val="24"/>
          <w:szCs w:val="24"/>
        </w:rPr>
        <w:t>Portalmeioambiente.</w:t>
      </w:r>
      <w:proofErr w:type="gramEnd"/>
      <w:r w:rsidRPr="00A24A11">
        <w:rPr>
          <w:rFonts w:ascii="Times New Roman" w:hAnsi="Times New Roman" w:cs="Times New Roman"/>
          <w:sz w:val="24"/>
          <w:szCs w:val="24"/>
        </w:rPr>
        <w:t>mg, possibilidades legais que permitem a redução da multa (atenuantes), disponível em &lt;</w:t>
      </w:r>
      <w:r w:rsidRPr="00A24A11">
        <w:rPr>
          <w:rFonts w:ascii="Times New Roman" w:hAnsi="Times New Roman" w:cs="Times New Roman"/>
        </w:rPr>
        <w:t xml:space="preserve"> </w:t>
      </w:r>
      <w:r w:rsidRPr="00A24A11">
        <w:rPr>
          <w:rFonts w:ascii="Times New Roman" w:hAnsi="Times New Roman" w:cs="Times New Roman"/>
          <w:sz w:val="24"/>
          <w:szCs w:val="24"/>
          <w:u w:val="single"/>
        </w:rPr>
        <w:t>http://www.meioambiente.mg.gov.br/fiscalizacao/autos-de-infracao/1474</w:t>
      </w:r>
      <w:r w:rsidRPr="00A24A11">
        <w:rPr>
          <w:rFonts w:ascii="Times New Roman" w:hAnsi="Times New Roman" w:cs="Times New Roman"/>
          <w:sz w:val="24"/>
          <w:szCs w:val="24"/>
        </w:rPr>
        <w:t>&gt; , acessado em 07 de outubro de 2016.</w:t>
      </w:r>
    </w:p>
    <w:p w:rsidR="00201362" w:rsidRPr="00A24A11" w:rsidRDefault="00201362" w:rsidP="00A24A11">
      <w:pPr>
        <w:jc w:val="both"/>
        <w:rPr>
          <w:rFonts w:ascii="Times New Roman" w:hAnsi="Times New Roman" w:cs="Times New Roman"/>
          <w:sz w:val="24"/>
          <w:szCs w:val="24"/>
        </w:rPr>
      </w:pPr>
      <w:proofErr w:type="gramStart"/>
      <w:r w:rsidRPr="00A24A11">
        <w:rPr>
          <w:rFonts w:ascii="Times New Roman" w:hAnsi="Times New Roman" w:cs="Times New Roman"/>
          <w:sz w:val="24"/>
          <w:szCs w:val="24"/>
        </w:rPr>
        <w:lastRenderedPageBreak/>
        <w:t>Portalmeioambiente.</w:t>
      </w:r>
      <w:proofErr w:type="gramEnd"/>
      <w:r w:rsidRPr="00A24A11">
        <w:rPr>
          <w:rFonts w:ascii="Times New Roman" w:hAnsi="Times New Roman" w:cs="Times New Roman"/>
          <w:sz w:val="24"/>
          <w:szCs w:val="24"/>
        </w:rPr>
        <w:t>mg, recurso administrativo, disponível em &lt;</w:t>
      </w:r>
      <w:r w:rsidRPr="00A24A11">
        <w:rPr>
          <w:rFonts w:ascii="Times New Roman" w:hAnsi="Times New Roman" w:cs="Times New Roman"/>
        </w:rPr>
        <w:t xml:space="preserve"> </w:t>
      </w:r>
      <w:hyperlink r:id="rId18" w:history="1">
        <w:r w:rsidRPr="00A24A11">
          <w:rPr>
            <w:rStyle w:val="Hyperlink"/>
            <w:rFonts w:ascii="Times New Roman" w:hAnsi="Times New Roman" w:cs="Times New Roman"/>
            <w:color w:val="auto"/>
            <w:sz w:val="24"/>
            <w:szCs w:val="24"/>
          </w:rPr>
          <w:t>http://www.meioambiente.mg.gov.br/fiscalizacao/autos-de-infracao/1472</w:t>
        </w:r>
      </w:hyperlink>
      <w:r w:rsidRPr="00A24A11">
        <w:rPr>
          <w:rFonts w:ascii="Times New Roman" w:hAnsi="Times New Roman" w:cs="Times New Roman"/>
          <w:sz w:val="24"/>
          <w:szCs w:val="24"/>
        </w:rPr>
        <w:t>&gt;, acessado em 07 de outubro de 2016.</w:t>
      </w:r>
    </w:p>
    <w:p w:rsidR="00E44715" w:rsidRPr="00A24A11" w:rsidRDefault="00201362" w:rsidP="00A24A11">
      <w:pPr>
        <w:jc w:val="both"/>
        <w:rPr>
          <w:rFonts w:ascii="Times New Roman" w:hAnsi="Times New Roman" w:cs="Times New Roman"/>
          <w:sz w:val="24"/>
          <w:szCs w:val="24"/>
        </w:rPr>
      </w:pPr>
      <w:r w:rsidRPr="00A24A11">
        <w:rPr>
          <w:rFonts w:ascii="Times New Roman" w:hAnsi="Times New Roman" w:cs="Times New Roman"/>
          <w:sz w:val="24"/>
          <w:szCs w:val="24"/>
        </w:rPr>
        <w:t xml:space="preserve">VARJABEDIAN, R. Lei da Mata Atlântica: retrocesso ambiental. </w:t>
      </w:r>
      <w:r w:rsidRPr="00A24A11">
        <w:rPr>
          <w:rFonts w:ascii="Times New Roman" w:hAnsi="Times New Roman" w:cs="Times New Roman"/>
          <w:b/>
          <w:sz w:val="24"/>
          <w:szCs w:val="24"/>
        </w:rPr>
        <w:t>Estudos avançados</w:t>
      </w:r>
      <w:r w:rsidRPr="00A24A11">
        <w:rPr>
          <w:rFonts w:ascii="Times New Roman" w:hAnsi="Times New Roman" w:cs="Times New Roman"/>
          <w:sz w:val="24"/>
          <w:szCs w:val="24"/>
        </w:rPr>
        <w:t xml:space="preserve">, v. 24, n. 68, p. 147–160, 2010. </w:t>
      </w:r>
    </w:p>
    <w:p w:rsidR="000E77B4" w:rsidRDefault="000E77B4" w:rsidP="00FF4B2C">
      <w:pPr>
        <w:tabs>
          <w:tab w:val="right" w:pos="9071"/>
        </w:tabs>
        <w:spacing w:after="0" w:line="360" w:lineRule="auto"/>
        <w:rPr>
          <w:rFonts w:ascii="Times New Roman" w:hAnsi="Times New Roman" w:cs="Times New Roman"/>
          <w:sz w:val="24"/>
          <w:szCs w:val="24"/>
        </w:rPr>
      </w:pPr>
    </w:p>
    <w:p w:rsidR="008F0953" w:rsidRDefault="008F0953" w:rsidP="00FF4B2C">
      <w:pPr>
        <w:tabs>
          <w:tab w:val="right" w:pos="9071"/>
        </w:tabs>
        <w:spacing w:after="0" w:line="360" w:lineRule="auto"/>
        <w:rPr>
          <w:rFonts w:ascii="Times New Roman" w:hAnsi="Times New Roman" w:cs="Times New Roman"/>
          <w:sz w:val="24"/>
          <w:szCs w:val="24"/>
        </w:rPr>
      </w:pPr>
    </w:p>
    <w:p w:rsidR="008F0953" w:rsidRDefault="008F0953" w:rsidP="00FF4B2C">
      <w:pPr>
        <w:tabs>
          <w:tab w:val="right" w:pos="9071"/>
        </w:tabs>
        <w:spacing w:after="0" w:line="360" w:lineRule="auto"/>
        <w:rPr>
          <w:rFonts w:ascii="Times New Roman" w:hAnsi="Times New Roman" w:cs="Times New Roman"/>
          <w:sz w:val="24"/>
          <w:szCs w:val="24"/>
        </w:rPr>
      </w:pPr>
    </w:p>
    <w:p w:rsidR="008F0953" w:rsidRPr="005D30B9" w:rsidRDefault="008F0953" w:rsidP="00FF4B2C">
      <w:pPr>
        <w:tabs>
          <w:tab w:val="right" w:pos="9071"/>
        </w:tabs>
        <w:spacing w:after="0" w:line="360" w:lineRule="auto"/>
        <w:rPr>
          <w:rFonts w:ascii="Times New Roman" w:hAnsi="Times New Roman" w:cs="Times New Roman"/>
          <w:sz w:val="24"/>
          <w:szCs w:val="24"/>
        </w:rPr>
      </w:pPr>
    </w:p>
    <w:sectPr w:rsidR="008F0953" w:rsidRPr="005D30B9" w:rsidSect="001165FF">
      <w:footerReference w:type="default" r:id="rId1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1C" w:rsidRDefault="008D2D1C" w:rsidP="007C7053">
      <w:pPr>
        <w:spacing w:after="0" w:line="240" w:lineRule="auto"/>
      </w:pPr>
      <w:r>
        <w:separator/>
      </w:r>
    </w:p>
  </w:endnote>
  <w:endnote w:type="continuationSeparator" w:id="0">
    <w:p w:rsidR="008D2D1C" w:rsidRDefault="008D2D1C" w:rsidP="007C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53" w:rsidRPr="007C7053" w:rsidRDefault="007C7053">
    <w:pPr>
      <w:pStyle w:val="Rodap"/>
      <w:jc w:val="right"/>
      <w:rPr>
        <w:rFonts w:ascii="Arial" w:hAnsi="Arial" w:cs="Arial"/>
        <w:sz w:val="24"/>
        <w:szCs w:val="24"/>
      </w:rPr>
    </w:pPr>
  </w:p>
  <w:p w:rsidR="007C7053" w:rsidRDefault="007C705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95996"/>
      <w:docPartObj>
        <w:docPartGallery w:val="Page Numbers (Bottom of Page)"/>
        <w:docPartUnique/>
      </w:docPartObj>
    </w:sdtPr>
    <w:sdtEndPr>
      <w:rPr>
        <w:rFonts w:ascii="Arial" w:hAnsi="Arial" w:cs="Arial"/>
        <w:sz w:val="24"/>
        <w:szCs w:val="24"/>
      </w:rPr>
    </w:sdtEndPr>
    <w:sdtContent>
      <w:p w:rsidR="007C7053" w:rsidRPr="007C7053" w:rsidRDefault="00934698">
        <w:pPr>
          <w:pStyle w:val="Rodap"/>
          <w:jc w:val="right"/>
          <w:rPr>
            <w:rFonts w:ascii="Arial" w:hAnsi="Arial" w:cs="Arial"/>
            <w:sz w:val="24"/>
            <w:szCs w:val="24"/>
          </w:rPr>
        </w:pPr>
        <w:r w:rsidRPr="007C7053">
          <w:rPr>
            <w:rFonts w:ascii="Arial" w:hAnsi="Arial" w:cs="Arial"/>
            <w:sz w:val="24"/>
            <w:szCs w:val="24"/>
          </w:rPr>
          <w:fldChar w:fldCharType="begin"/>
        </w:r>
        <w:r w:rsidR="007C7053" w:rsidRPr="007C7053">
          <w:rPr>
            <w:rFonts w:ascii="Arial" w:hAnsi="Arial" w:cs="Arial"/>
            <w:sz w:val="24"/>
            <w:szCs w:val="24"/>
          </w:rPr>
          <w:instrText>PAGE   \* MERGEFORMAT</w:instrText>
        </w:r>
        <w:r w:rsidRPr="007C7053">
          <w:rPr>
            <w:rFonts w:ascii="Arial" w:hAnsi="Arial" w:cs="Arial"/>
            <w:sz w:val="24"/>
            <w:szCs w:val="24"/>
          </w:rPr>
          <w:fldChar w:fldCharType="separate"/>
        </w:r>
        <w:r w:rsidR="00276B5F">
          <w:rPr>
            <w:rFonts w:ascii="Arial" w:hAnsi="Arial" w:cs="Arial"/>
            <w:noProof/>
            <w:sz w:val="24"/>
            <w:szCs w:val="24"/>
          </w:rPr>
          <w:t>22</w:t>
        </w:r>
        <w:r w:rsidRPr="007C7053">
          <w:rPr>
            <w:rFonts w:ascii="Arial" w:hAnsi="Arial" w:cs="Arial"/>
            <w:sz w:val="24"/>
            <w:szCs w:val="24"/>
          </w:rPr>
          <w:fldChar w:fldCharType="end"/>
        </w:r>
      </w:p>
    </w:sdtContent>
  </w:sdt>
  <w:p w:rsidR="007C7053" w:rsidRDefault="007C70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1C" w:rsidRDefault="008D2D1C" w:rsidP="007C7053">
      <w:pPr>
        <w:spacing w:after="0" w:line="240" w:lineRule="auto"/>
      </w:pPr>
      <w:r>
        <w:separator/>
      </w:r>
    </w:p>
  </w:footnote>
  <w:footnote w:type="continuationSeparator" w:id="0">
    <w:p w:rsidR="008D2D1C" w:rsidRDefault="008D2D1C" w:rsidP="007C7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743E"/>
    <w:multiLevelType w:val="hybridMultilevel"/>
    <w:tmpl w:val="FB7C72F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CC55587"/>
    <w:multiLevelType w:val="hybridMultilevel"/>
    <w:tmpl w:val="B1160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1C41DDF"/>
    <w:multiLevelType w:val="hybridMultilevel"/>
    <w:tmpl w:val="DB68A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1804239"/>
    <w:multiLevelType w:val="multilevel"/>
    <w:tmpl w:val="3DF657D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3712273"/>
    <w:multiLevelType w:val="hybridMultilevel"/>
    <w:tmpl w:val="860AD3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3FD2E1F"/>
    <w:multiLevelType w:val="hybridMultilevel"/>
    <w:tmpl w:val="4210A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C4609AA"/>
    <w:multiLevelType w:val="hybridMultilevel"/>
    <w:tmpl w:val="9DCC1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01"/>
    <w:rsid w:val="00014299"/>
    <w:rsid w:val="00033EC0"/>
    <w:rsid w:val="00037DFE"/>
    <w:rsid w:val="0005194A"/>
    <w:rsid w:val="000618AF"/>
    <w:rsid w:val="00064304"/>
    <w:rsid w:val="000665F7"/>
    <w:rsid w:val="0008704F"/>
    <w:rsid w:val="000A049F"/>
    <w:rsid w:val="000C6834"/>
    <w:rsid w:val="000C691B"/>
    <w:rsid w:val="000D0249"/>
    <w:rsid w:val="000D046C"/>
    <w:rsid w:val="000D4469"/>
    <w:rsid w:val="000E77B4"/>
    <w:rsid w:val="00104E66"/>
    <w:rsid w:val="001165FF"/>
    <w:rsid w:val="00121E5A"/>
    <w:rsid w:val="00143E49"/>
    <w:rsid w:val="00144876"/>
    <w:rsid w:val="00145D0A"/>
    <w:rsid w:val="00147396"/>
    <w:rsid w:val="00147980"/>
    <w:rsid w:val="00161224"/>
    <w:rsid w:val="001A1B87"/>
    <w:rsid w:val="001A71B8"/>
    <w:rsid w:val="001B1295"/>
    <w:rsid w:val="00201362"/>
    <w:rsid w:val="00211927"/>
    <w:rsid w:val="002263E6"/>
    <w:rsid w:val="00233E96"/>
    <w:rsid w:val="002431E4"/>
    <w:rsid w:val="0024468E"/>
    <w:rsid w:val="0025225F"/>
    <w:rsid w:val="00270ADA"/>
    <w:rsid w:val="00270E49"/>
    <w:rsid w:val="00274C75"/>
    <w:rsid w:val="00276B5F"/>
    <w:rsid w:val="0027730B"/>
    <w:rsid w:val="002812F8"/>
    <w:rsid w:val="002977F8"/>
    <w:rsid w:val="002B0BD4"/>
    <w:rsid w:val="002E10F8"/>
    <w:rsid w:val="002F1CE9"/>
    <w:rsid w:val="002F7577"/>
    <w:rsid w:val="00334087"/>
    <w:rsid w:val="003A28B4"/>
    <w:rsid w:val="003D76F2"/>
    <w:rsid w:val="004060B8"/>
    <w:rsid w:val="004153D1"/>
    <w:rsid w:val="00441D2A"/>
    <w:rsid w:val="004441AF"/>
    <w:rsid w:val="0046668F"/>
    <w:rsid w:val="00470507"/>
    <w:rsid w:val="004753CF"/>
    <w:rsid w:val="004824E4"/>
    <w:rsid w:val="004A4AD8"/>
    <w:rsid w:val="004A5F7F"/>
    <w:rsid w:val="004A645E"/>
    <w:rsid w:val="004B50D1"/>
    <w:rsid w:val="004C687E"/>
    <w:rsid w:val="004D6B2F"/>
    <w:rsid w:val="00500DCC"/>
    <w:rsid w:val="005077C7"/>
    <w:rsid w:val="00514030"/>
    <w:rsid w:val="005345CA"/>
    <w:rsid w:val="00566289"/>
    <w:rsid w:val="00573D14"/>
    <w:rsid w:val="005A3B8A"/>
    <w:rsid w:val="005A6609"/>
    <w:rsid w:val="005B2DAC"/>
    <w:rsid w:val="005D30B9"/>
    <w:rsid w:val="005D5D33"/>
    <w:rsid w:val="005F28E1"/>
    <w:rsid w:val="00607141"/>
    <w:rsid w:val="00691199"/>
    <w:rsid w:val="006A4A9D"/>
    <w:rsid w:val="006E3BCA"/>
    <w:rsid w:val="006E6366"/>
    <w:rsid w:val="007129B6"/>
    <w:rsid w:val="0073174C"/>
    <w:rsid w:val="0076387D"/>
    <w:rsid w:val="00772C69"/>
    <w:rsid w:val="00780D15"/>
    <w:rsid w:val="007844F8"/>
    <w:rsid w:val="007B1C12"/>
    <w:rsid w:val="007B2C03"/>
    <w:rsid w:val="007C4FA8"/>
    <w:rsid w:val="007C7053"/>
    <w:rsid w:val="007E58B0"/>
    <w:rsid w:val="007F3989"/>
    <w:rsid w:val="007F63F8"/>
    <w:rsid w:val="00835150"/>
    <w:rsid w:val="0085110A"/>
    <w:rsid w:val="00852E6C"/>
    <w:rsid w:val="0088045F"/>
    <w:rsid w:val="00882F16"/>
    <w:rsid w:val="00897290"/>
    <w:rsid w:val="008A0C75"/>
    <w:rsid w:val="008A3821"/>
    <w:rsid w:val="008A38A6"/>
    <w:rsid w:val="008A7F05"/>
    <w:rsid w:val="008B6B50"/>
    <w:rsid w:val="008D2D1C"/>
    <w:rsid w:val="008F0953"/>
    <w:rsid w:val="00915A6F"/>
    <w:rsid w:val="00920455"/>
    <w:rsid w:val="009309B8"/>
    <w:rsid w:val="0093410A"/>
    <w:rsid w:val="00934698"/>
    <w:rsid w:val="00941302"/>
    <w:rsid w:val="0094369D"/>
    <w:rsid w:val="00960811"/>
    <w:rsid w:val="00972044"/>
    <w:rsid w:val="00980AE6"/>
    <w:rsid w:val="00982469"/>
    <w:rsid w:val="00992CFB"/>
    <w:rsid w:val="00997075"/>
    <w:rsid w:val="009A6250"/>
    <w:rsid w:val="009B3535"/>
    <w:rsid w:val="009D0B75"/>
    <w:rsid w:val="009E231C"/>
    <w:rsid w:val="009E427D"/>
    <w:rsid w:val="009F005F"/>
    <w:rsid w:val="00A06596"/>
    <w:rsid w:val="00A111B0"/>
    <w:rsid w:val="00A11E9A"/>
    <w:rsid w:val="00A24A11"/>
    <w:rsid w:val="00A27030"/>
    <w:rsid w:val="00A278B6"/>
    <w:rsid w:val="00A3546B"/>
    <w:rsid w:val="00A42B15"/>
    <w:rsid w:val="00A50582"/>
    <w:rsid w:val="00A77722"/>
    <w:rsid w:val="00A8281F"/>
    <w:rsid w:val="00AB1CE1"/>
    <w:rsid w:val="00AD3804"/>
    <w:rsid w:val="00AE560B"/>
    <w:rsid w:val="00AF0656"/>
    <w:rsid w:val="00AF53F1"/>
    <w:rsid w:val="00B020C1"/>
    <w:rsid w:val="00B23D0D"/>
    <w:rsid w:val="00B24730"/>
    <w:rsid w:val="00B53201"/>
    <w:rsid w:val="00B83E00"/>
    <w:rsid w:val="00B92115"/>
    <w:rsid w:val="00B92B9C"/>
    <w:rsid w:val="00B93ABF"/>
    <w:rsid w:val="00BC3C77"/>
    <w:rsid w:val="00BE3A6C"/>
    <w:rsid w:val="00C17193"/>
    <w:rsid w:val="00C50C1F"/>
    <w:rsid w:val="00C51121"/>
    <w:rsid w:val="00C83ACC"/>
    <w:rsid w:val="00C87C76"/>
    <w:rsid w:val="00CA2DC6"/>
    <w:rsid w:val="00CB1A32"/>
    <w:rsid w:val="00CE2C28"/>
    <w:rsid w:val="00CF50C1"/>
    <w:rsid w:val="00D0435A"/>
    <w:rsid w:val="00D23DD8"/>
    <w:rsid w:val="00D25483"/>
    <w:rsid w:val="00D36786"/>
    <w:rsid w:val="00D45A73"/>
    <w:rsid w:val="00D62A88"/>
    <w:rsid w:val="00DA29A0"/>
    <w:rsid w:val="00DC2538"/>
    <w:rsid w:val="00DC2C7E"/>
    <w:rsid w:val="00DD0EB8"/>
    <w:rsid w:val="00DD59C2"/>
    <w:rsid w:val="00DE6789"/>
    <w:rsid w:val="00DF385F"/>
    <w:rsid w:val="00E172F1"/>
    <w:rsid w:val="00E21541"/>
    <w:rsid w:val="00E27D14"/>
    <w:rsid w:val="00E335A4"/>
    <w:rsid w:val="00E351FA"/>
    <w:rsid w:val="00E36A7B"/>
    <w:rsid w:val="00E377B9"/>
    <w:rsid w:val="00E44715"/>
    <w:rsid w:val="00E51857"/>
    <w:rsid w:val="00E647AF"/>
    <w:rsid w:val="00E65BD4"/>
    <w:rsid w:val="00E66F8D"/>
    <w:rsid w:val="00E74B57"/>
    <w:rsid w:val="00E878E7"/>
    <w:rsid w:val="00E97FDE"/>
    <w:rsid w:val="00EB6191"/>
    <w:rsid w:val="00EE723E"/>
    <w:rsid w:val="00EF0AFE"/>
    <w:rsid w:val="00F43E33"/>
    <w:rsid w:val="00F64B99"/>
    <w:rsid w:val="00FB5E05"/>
    <w:rsid w:val="00FD1494"/>
    <w:rsid w:val="00FF4B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2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18AF"/>
    <w:pPr>
      <w:ind w:left="720"/>
      <w:contextualSpacing/>
    </w:pPr>
  </w:style>
  <w:style w:type="paragraph" w:styleId="Textodebalo">
    <w:name w:val="Balloon Text"/>
    <w:basedOn w:val="Normal"/>
    <w:link w:val="TextodebaloChar"/>
    <w:uiPriority w:val="99"/>
    <w:semiHidden/>
    <w:unhideWhenUsed/>
    <w:rsid w:val="00C83A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ACC"/>
    <w:rPr>
      <w:rFonts w:ascii="Tahoma" w:hAnsi="Tahoma" w:cs="Tahoma"/>
      <w:sz w:val="16"/>
      <w:szCs w:val="16"/>
    </w:rPr>
  </w:style>
  <w:style w:type="character" w:customStyle="1" w:styleId="Ttulo1Char">
    <w:name w:val="Título 1 Char"/>
    <w:basedOn w:val="Fontepargpadro"/>
    <w:link w:val="Ttulo1"/>
    <w:uiPriority w:val="9"/>
    <w:rsid w:val="00B24730"/>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B24730"/>
    <w:pPr>
      <w:outlineLvl w:val="9"/>
    </w:pPr>
  </w:style>
  <w:style w:type="paragraph" w:styleId="Sumrio1">
    <w:name w:val="toc 1"/>
    <w:basedOn w:val="Normal"/>
    <w:next w:val="Normal"/>
    <w:autoRedefine/>
    <w:uiPriority w:val="39"/>
    <w:unhideWhenUsed/>
    <w:rsid w:val="00573D14"/>
    <w:pPr>
      <w:spacing w:after="100"/>
    </w:pPr>
  </w:style>
  <w:style w:type="character" w:styleId="Hyperlink">
    <w:name w:val="Hyperlink"/>
    <w:basedOn w:val="Fontepargpadro"/>
    <w:uiPriority w:val="99"/>
    <w:unhideWhenUsed/>
    <w:rsid w:val="00573D14"/>
    <w:rPr>
      <w:color w:val="0000FF" w:themeColor="hyperlink"/>
      <w:u w:val="single"/>
    </w:rPr>
  </w:style>
  <w:style w:type="character" w:styleId="Refdecomentrio">
    <w:name w:val="annotation reference"/>
    <w:basedOn w:val="Fontepargpadro"/>
    <w:uiPriority w:val="99"/>
    <w:semiHidden/>
    <w:unhideWhenUsed/>
    <w:rsid w:val="007844F8"/>
    <w:rPr>
      <w:sz w:val="16"/>
      <w:szCs w:val="16"/>
    </w:rPr>
  </w:style>
  <w:style w:type="paragraph" w:styleId="Textodecomentrio">
    <w:name w:val="annotation text"/>
    <w:basedOn w:val="Normal"/>
    <w:link w:val="TextodecomentrioChar"/>
    <w:uiPriority w:val="99"/>
    <w:semiHidden/>
    <w:unhideWhenUsed/>
    <w:rsid w:val="00784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44F8"/>
    <w:rPr>
      <w:sz w:val="20"/>
      <w:szCs w:val="20"/>
    </w:rPr>
  </w:style>
  <w:style w:type="paragraph" w:styleId="Assuntodocomentrio">
    <w:name w:val="annotation subject"/>
    <w:basedOn w:val="Textodecomentrio"/>
    <w:next w:val="Textodecomentrio"/>
    <w:link w:val="AssuntodocomentrioChar"/>
    <w:uiPriority w:val="99"/>
    <w:semiHidden/>
    <w:unhideWhenUsed/>
    <w:rsid w:val="007844F8"/>
    <w:rPr>
      <w:b/>
      <w:bCs/>
    </w:rPr>
  </w:style>
  <w:style w:type="character" w:customStyle="1" w:styleId="AssuntodocomentrioChar">
    <w:name w:val="Assunto do comentário Char"/>
    <w:basedOn w:val="TextodecomentrioChar"/>
    <w:link w:val="Assuntodocomentrio"/>
    <w:uiPriority w:val="99"/>
    <w:semiHidden/>
    <w:rsid w:val="007844F8"/>
    <w:rPr>
      <w:b/>
      <w:bCs/>
      <w:sz w:val="20"/>
      <w:szCs w:val="20"/>
    </w:rPr>
  </w:style>
  <w:style w:type="table" w:styleId="Tabelacomgrade">
    <w:name w:val="Table Grid"/>
    <w:basedOn w:val="Tabelanormal"/>
    <w:uiPriority w:val="59"/>
    <w:rsid w:val="0099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005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C70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053"/>
  </w:style>
  <w:style w:type="paragraph" w:styleId="Rodap">
    <w:name w:val="footer"/>
    <w:basedOn w:val="Normal"/>
    <w:link w:val="RodapChar"/>
    <w:uiPriority w:val="99"/>
    <w:unhideWhenUsed/>
    <w:rsid w:val="007C7053"/>
    <w:pPr>
      <w:tabs>
        <w:tab w:val="center" w:pos="4252"/>
        <w:tab w:val="right" w:pos="8504"/>
      </w:tabs>
      <w:spacing w:after="0" w:line="240" w:lineRule="auto"/>
    </w:pPr>
  </w:style>
  <w:style w:type="character" w:customStyle="1" w:styleId="RodapChar">
    <w:name w:val="Rodapé Char"/>
    <w:basedOn w:val="Fontepargpadro"/>
    <w:link w:val="Rodap"/>
    <w:uiPriority w:val="99"/>
    <w:rsid w:val="007C7053"/>
  </w:style>
  <w:style w:type="character" w:customStyle="1" w:styleId="apple-converted-space">
    <w:name w:val="apple-converted-space"/>
    <w:basedOn w:val="Fontepargpadro"/>
    <w:rsid w:val="005A3B8A"/>
  </w:style>
  <w:style w:type="paragraph" w:styleId="NormalWeb">
    <w:name w:val="Normal (Web)"/>
    <w:basedOn w:val="Normal"/>
    <w:uiPriority w:val="99"/>
    <w:semiHidden/>
    <w:unhideWhenUsed/>
    <w:rsid w:val="0096081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01362"/>
    <w:rPr>
      <w:b/>
      <w:bCs/>
    </w:rPr>
  </w:style>
  <w:style w:type="paragraph" w:styleId="Legenda">
    <w:name w:val="caption"/>
    <w:basedOn w:val="Normal"/>
    <w:next w:val="Normal"/>
    <w:uiPriority w:val="35"/>
    <w:unhideWhenUsed/>
    <w:qFormat/>
    <w:rsid w:val="002263E6"/>
    <w:pPr>
      <w:spacing w:line="240" w:lineRule="auto"/>
    </w:pPr>
    <w:rPr>
      <w:b/>
      <w:bCs/>
      <w:color w:val="4F81BD" w:themeColor="accent1"/>
      <w:sz w:val="18"/>
      <w:szCs w:val="18"/>
    </w:rPr>
  </w:style>
  <w:style w:type="paragraph" w:styleId="Pr-formataoHTML">
    <w:name w:val="HTML Preformatted"/>
    <w:basedOn w:val="Normal"/>
    <w:link w:val="Pr-formataoHTMLChar"/>
    <w:uiPriority w:val="99"/>
    <w:semiHidden/>
    <w:unhideWhenUsed/>
    <w:rsid w:val="0003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formataoHTMLChar">
    <w:name w:val="Pré-formatação HTML Char"/>
    <w:basedOn w:val="Fontepargpadro"/>
    <w:link w:val="Pr-formataoHTML"/>
    <w:uiPriority w:val="99"/>
    <w:semiHidden/>
    <w:rsid w:val="00037DFE"/>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2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18AF"/>
    <w:pPr>
      <w:ind w:left="720"/>
      <w:contextualSpacing/>
    </w:pPr>
  </w:style>
  <w:style w:type="paragraph" w:styleId="Textodebalo">
    <w:name w:val="Balloon Text"/>
    <w:basedOn w:val="Normal"/>
    <w:link w:val="TextodebaloChar"/>
    <w:uiPriority w:val="99"/>
    <w:semiHidden/>
    <w:unhideWhenUsed/>
    <w:rsid w:val="00C83A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ACC"/>
    <w:rPr>
      <w:rFonts w:ascii="Tahoma" w:hAnsi="Tahoma" w:cs="Tahoma"/>
      <w:sz w:val="16"/>
      <w:szCs w:val="16"/>
    </w:rPr>
  </w:style>
  <w:style w:type="character" w:customStyle="1" w:styleId="Ttulo1Char">
    <w:name w:val="Título 1 Char"/>
    <w:basedOn w:val="Fontepargpadro"/>
    <w:link w:val="Ttulo1"/>
    <w:uiPriority w:val="9"/>
    <w:rsid w:val="00B24730"/>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B24730"/>
    <w:pPr>
      <w:outlineLvl w:val="9"/>
    </w:pPr>
  </w:style>
  <w:style w:type="paragraph" w:styleId="Sumrio1">
    <w:name w:val="toc 1"/>
    <w:basedOn w:val="Normal"/>
    <w:next w:val="Normal"/>
    <w:autoRedefine/>
    <w:uiPriority w:val="39"/>
    <w:unhideWhenUsed/>
    <w:rsid w:val="00573D14"/>
    <w:pPr>
      <w:spacing w:after="100"/>
    </w:pPr>
  </w:style>
  <w:style w:type="character" w:styleId="Hyperlink">
    <w:name w:val="Hyperlink"/>
    <w:basedOn w:val="Fontepargpadro"/>
    <w:uiPriority w:val="99"/>
    <w:unhideWhenUsed/>
    <w:rsid w:val="00573D14"/>
    <w:rPr>
      <w:color w:val="0000FF" w:themeColor="hyperlink"/>
      <w:u w:val="single"/>
    </w:rPr>
  </w:style>
  <w:style w:type="character" w:styleId="Refdecomentrio">
    <w:name w:val="annotation reference"/>
    <w:basedOn w:val="Fontepargpadro"/>
    <w:uiPriority w:val="99"/>
    <w:semiHidden/>
    <w:unhideWhenUsed/>
    <w:rsid w:val="007844F8"/>
    <w:rPr>
      <w:sz w:val="16"/>
      <w:szCs w:val="16"/>
    </w:rPr>
  </w:style>
  <w:style w:type="paragraph" w:styleId="Textodecomentrio">
    <w:name w:val="annotation text"/>
    <w:basedOn w:val="Normal"/>
    <w:link w:val="TextodecomentrioChar"/>
    <w:uiPriority w:val="99"/>
    <w:semiHidden/>
    <w:unhideWhenUsed/>
    <w:rsid w:val="00784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44F8"/>
    <w:rPr>
      <w:sz w:val="20"/>
      <w:szCs w:val="20"/>
    </w:rPr>
  </w:style>
  <w:style w:type="paragraph" w:styleId="Assuntodocomentrio">
    <w:name w:val="annotation subject"/>
    <w:basedOn w:val="Textodecomentrio"/>
    <w:next w:val="Textodecomentrio"/>
    <w:link w:val="AssuntodocomentrioChar"/>
    <w:uiPriority w:val="99"/>
    <w:semiHidden/>
    <w:unhideWhenUsed/>
    <w:rsid w:val="007844F8"/>
    <w:rPr>
      <w:b/>
      <w:bCs/>
    </w:rPr>
  </w:style>
  <w:style w:type="character" w:customStyle="1" w:styleId="AssuntodocomentrioChar">
    <w:name w:val="Assunto do comentário Char"/>
    <w:basedOn w:val="TextodecomentrioChar"/>
    <w:link w:val="Assuntodocomentrio"/>
    <w:uiPriority w:val="99"/>
    <w:semiHidden/>
    <w:rsid w:val="007844F8"/>
    <w:rPr>
      <w:b/>
      <w:bCs/>
      <w:sz w:val="20"/>
      <w:szCs w:val="20"/>
    </w:rPr>
  </w:style>
  <w:style w:type="table" w:styleId="Tabelacomgrade">
    <w:name w:val="Table Grid"/>
    <w:basedOn w:val="Tabelanormal"/>
    <w:uiPriority w:val="59"/>
    <w:rsid w:val="0099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005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C70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053"/>
  </w:style>
  <w:style w:type="paragraph" w:styleId="Rodap">
    <w:name w:val="footer"/>
    <w:basedOn w:val="Normal"/>
    <w:link w:val="RodapChar"/>
    <w:uiPriority w:val="99"/>
    <w:unhideWhenUsed/>
    <w:rsid w:val="007C7053"/>
    <w:pPr>
      <w:tabs>
        <w:tab w:val="center" w:pos="4252"/>
        <w:tab w:val="right" w:pos="8504"/>
      </w:tabs>
      <w:spacing w:after="0" w:line="240" w:lineRule="auto"/>
    </w:pPr>
  </w:style>
  <w:style w:type="character" w:customStyle="1" w:styleId="RodapChar">
    <w:name w:val="Rodapé Char"/>
    <w:basedOn w:val="Fontepargpadro"/>
    <w:link w:val="Rodap"/>
    <w:uiPriority w:val="99"/>
    <w:rsid w:val="007C7053"/>
  </w:style>
  <w:style w:type="character" w:customStyle="1" w:styleId="apple-converted-space">
    <w:name w:val="apple-converted-space"/>
    <w:basedOn w:val="Fontepargpadro"/>
    <w:rsid w:val="005A3B8A"/>
  </w:style>
  <w:style w:type="paragraph" w:styleId="NormalWeb">
    <w:name w:val="Normal (Web)"/>
    <w:basedOn w:val="Normal"/>
    <w:uiPriority w:val="99"/>
    <w:semiHidden/>
    <w:unhideWhenUsed/>
    <w:rsid w:val="0096081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201362"/>
    <w:rPr>
      <w:b/>
      <w:bCs/>
    </w:rPr>
  </w:style>
  <w:style w:type="paragraph" w:styleId="Legenda">
    <w:name w:val="caption"/>
    <w:basedOn w:val="Normal"/>
    <w:next w:val="Normal"/>
    <w:uiPriority w:val="35"/>
    <w:unhideWhenUsed/>
    <w:qFormat/>
    <w:rsid w:val="002263E6"/>
    <w:pPr>
      <w:spacing w:line="240" w:lineRule="auto"/>
    </w:pPr>
    <w:rPr>
      <w:b/>
      <w:bCs/>
      <w:color w:val="4F81BD" w:themeColor="accent1"/>
      <w:sz w:val="18"/>
      <w:szCs w:val="18"/>
    </w:rPr>
  </w:style>
  <w:style w:type="paragraph" w:styleId="Pr-formataoHTML">
    <w:name w:val="HTML Preformatted"/>
    <w:basedOn w:val="Normal"/>
    <w:link w:val="Pr-formataoHTMLChar"/>
    <w:uiPriority w:val="99"/>
    <w:semiHidden/>
    <w:unhideWhenUsed/>
    <w:rsid w:val="0003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Pr-formataoHTMLChar">
    <w:name w:val="Pré-formatação HTML Char"/>
    <w:basedOn w:val="Fontepargpadro"/>
    <w:link w:val="Pr-formataoHTML"/>
    <w:uiPriority w:val="99"/>
    <w:semiHidden/>
    <w:rsid w:val="00037DFE"/>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7712">
      <w:bodyDiv w:val="1"/>
      <w:marLeft w:val="0"/>
      <w:marRight w:val="0"/>
      <w:marTop w:val="0"/>
      <w:marBottom w:val="0"/>
      <w:divBdr>
        <w:top w:val="none" w:sz="0" w:space="0" w:color="auto"/>
        <w:left w:val="none" w:sz="0" w:space="0" w:color="auto"/>
        <w:bottom w:val="none" w:sz="0" w:space="0" w:color="auto"/>
        <w:right w:val="none" w:sz="0" w:space="0" w:color="auto"/>
      </w:divBdr>
    </w:div>
    <w:div w:id="531722666">
      <w:bodyDiv w:val="1"/>
      <w:marLeft w:val="0"/>
      <w:marRight w:val="0"/>
      <w:marTop w:val="0"/>
      <w:marBottom w:val="0"/>
      <w:divBdr>
        <w:top w:val="none" w:sz="0" w:space="0" w:color="auto"/>
        <w:left w:val="none" w:sz="0" w:space="0" w:color="auto"/>
        <w:bottom w:val="none" w:sz="0" w:space="0" w:color="auto"/>
        <w:right w:val="none" w:sz="0" w:space="0" w:color="auto"/>
      </w:divBdr>
    </w:div>
    <w:div w:id="1407603746">
      <w:bodyDiv w:val="1"/>
      <w:marLeft w:val="0"/>
      <w:marRight w:val="0"/>
      <w:marTop w:val="0"/>
      <w:marBottom w:val="0"/>
      <w:divBdr>
        <w:top w:val="none" w:sz="0" w:space="0" w:color="auto"/>
        <w:left w:val="none" w:sz="0" w:space="0" w:color="auto"/>
        <w:bottom w:val="none" w:sz="0" w:space="0" w:color="auto"/>
        <w:right w:val="none" w:sz="0" w:space="0" w:color="auto"/>
      </w:divBdr>
    </w:div>
    <w:div w:id="20934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meioambiente.mg.gov.br/fiscalizacao/autos-de-infracao/147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ief.mg.gov.br/pesca/piracema" TargetMode="External"/><Relationship Id="rId2" Type="http://schemas.openxmlformats.org/officeDocument/2006/relationships/numbering" Target="numbering.xml"/><Relationship Id="rId16" Type="http://schemas.openxmlformats.org/officeDocument/2006/relationships/hyperlink" Target="http://www.meioambiente.mg.gov.br/fiscalizacao/autos-de-infraca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lanilha_do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lanilha_do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Autuações</c:v>
                </c:pt>
              </c:strCache>
            </c:strRef>
          </c:tx>
          <c:invertIfNegative val="0"/>
          <c:dLbls>
            <c:dLbl>
              <c:idx val="0"/>
              <c:tx>
                <c:rich>
                  <a:bodyPr/>
                  <a:lstStyle/>
                  <a:p>
                    <a:r>
                      <a:rPr lang="en-US"/>
                      <a:t>818; (77,24%)</a:t>
                    </a:r>
                  </a:p>
                </c:rich>
              </c:tx>
              <c:showLegendKey val="0"/>
              <c:showVal val="1"/>
              <c:showCatName val="0"/>
              <c:showSerName val="0"/>
              <c:showPercent val="0"/>
              <c:showBubbleSize val="0"/>
            </c:dLbl>
            <c:dLbl>
              <c:idx val="1"/>
              <c:tx>
                <c:rich>
                  <a:bodyPr/>
                  <a:lstStyle/>
                  <a:p>
                    <a:r>
                      <a:rPr lang="en-US"/>
                      <a:t>197; (18,60%)</a:t>
                    </a:r>
                  </a:p>
                </c:rich>
              </c:tx>
              <c:showLegendKey val="0"/>
              <c:showVal val="1"/>
              <c:showCatName val="0"/>
              <c:showSerName val="0"/>
              <c:showPercent val="0"/>
              <c:showBubbleSize val="0"/>
            </c:dLbl>
            <c:dLbl>
              <c:idx val="2"/>
              <c:tx>
                <c:rich>
                  <a:bodyPr/>
                  <a:lstStyle/>
                  <a:p>
                    <a:r>
                      <a:rPr lang="en-US"/>
                      <a:t>44; (4,16%)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Plan1!$A$2:$A$4</c:f>
              <c:strCache>
                <c:ptCount val="3"/>
                <c:pt idx="0">
                  <c:v>Pessoa Física</c:v>
                </c:pt>
                <c:pt idx="1">
                  <c:v>Órgão Privado</c:v>
                </c:pt>
                <c:pt idx="2">
                  <c:v>Órgão Público</c:v>
                </c:pt>
              </c:strCache>
            </c:strRef>
          </c:cat>
          <c:val>
            <c:numRef>
              <c:f>Plan1!$B$2:$B$4</c:f>
              <c:numCache>
                <c:formatCode>General</c:formatCode>
                <c:ptCount val="3"/>
                <c:pt idx="0">
                  <c:v>818</c:v>
                </c:pt>
                <c:pt idx="1">
                  <c:v>197</c:v>
                </c:pt>
                <c:pt idx="2">
                  <c:v>44</c:v>
                </c:pt>
              </c:numCache>
            </c:numRef>
          </c:val>
        </c:ser>
        <c:dLbls>
          <c:showLegendKey val="0"/>
          <c:showVal val="0"/>
          <c:showCatName val="0"/>
          <c:showSerName val="0"/>
          <c:showPercent val="0"/>
          <c:showBubbleSize val="0"/>
        </c:dLbls>
        <c:gapWidth val="150"/>
        <c:axId val="138764672"/>
        <c:axId val="138767360"/>
      </c:barChart>
      <c:catAx>
        <c:axId val="138764672"/>
        <c:scaling>
          <c:orientation val="minMax"/>
        </c:scaling>
        <c:delete val="0"/>
        <c:axPos val="b"/>
        <c:majorTickMark val="out"/>
        <c:minorTickMark val="none"/>
        <c:tickLblPos val="nextTo"/>
        <c:crossAx val="138767360"/>
        <c:crosses val="autoZero"/>
        <c:auto val="1"/>
        <c:lblAlgn val="ctr"/>
        <c:lblOffset val="100"/>
        <c:noMultiLvlLbl val="0"/>
      </c:catAx>
      <c:valAx>
        <c:axId val="138767360"/>
        <c:scaling>
          <c:orientation val="minMax"/>
        </c:scaling>
        <c:delete val="0"/>
        <c:axPos val="l"/>
        <c:majorGridlines/>
        <c:numFmt formatCode="General" sourceLinked="1"/>
        <c:majorTickMark val="out"/>
        <c:minorTickMark val="none"/>
        <c:tickLblPos val="nextTo"/>
        <c:crossAx val="1387646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121517439343936E-2"/>
          <c:y val="8.2652098219781117E-2"/>
          <c:w val="0.78954267032958025"/>
          <c:h val="0.58628525864646663"/>
        </c:manualLayout>
      </c:layout>
      <c:barChart>
        <c:barDir val="col"/>
        <c:grouping val="clustered"/>
        <c:varyColors val="0"/>
        <c:ser>
          <c:idx val="0"/>
          <c:order val="0"/>
          <c:tx>
            <c:strRef>
              <c:f>Plan1!$B$1</c:f>
              <c:strCache>
                <c:ptCount val="1"/>
                <c:pt idx="0">
                  <c:v>Autuações</c:v>
                </c:pt>
              </c:strCache>
            </c:strRef>
          </c:tx>
          <c:invertIfNegative val="0"/>
          <c:dLbls>
            <c:dLbl>
              <c:idx val="0"/>
              <c:layout>
                <c:manualLayout>
                  <c:x val="4.1622295691998761E-2"/>
                  <c:y val="1.4888890191503953E-2"/>
                </c:manualLayout>
              </c:layout>
              <c:tx>
                <c:rich>
                  <a:bodyPr/>
                  <a:lstStyle/>
                  <a:p>
                    <a:r>
                      <a:rPr lang="en-US"/>
                      <a:t>577; (54,48%)</a:t>
                    </a:r>
                  </a:p>
                </c:rich>
              </c:tx>
              <c:showLegendKey val="0"/>
              <c:showVal val="1"/>
              <c:showCatName val="0"/>
              <c:showSerName val="0"/>
              <c:showPercent val="0"/>
              <c:showBubbleSize val="0"/>
            </c:dLbl>
            <c:dLbl>
              <c:idx val="1"/>
              <c:tx>
                <c:rich>
                  <a:bodyPr/>
                  <a:lstStyle/>
                  <a:p>
                    <a:r>
                      <a:rPr lang="en-US"/>
                      <a:t>156; </a:t>
                    </a:r>
                  </a:p>
                  <a:p>
                    <a:r>
                      <a:rPr lang="en-US"/>
                      <a:t>(14,73%)</a:t>
                    </a:r>
                  </a:p>
                </c:rich>
              </c:tx>
              <c:showLegendKey val="0"/>
              <c:showVal val="1"/>
              <c:showCatName val="0"/>
              <c:showSerName val="0"/>
              <c:showPercent val="0"/>
              <c:showBubbleSize val="0"/>
            </c:dLbl>
            <c:dLbl>
              <c:idx val="2"/>
              <c:tx>
                <c:rich>
                  <a:bodyPr/>
                  <a:lstStyle/>
                  <a:p>
                    <a:r>
                      <a:rPr lang="en-US"/>
                      <a:t>115,;</a:t>
                    </a:r>
                  </a:p>
                  <a:p>
                    <a:r>
                      <a:rPr lang="en-US"/>
                      <a:t>(10,86%)</a:t>
                    </a:r>
                  </a:p>
                </c:rich>
              </c:tx>
              <c:showLegendKey val="0"/>
              <c:showVal val="1"/>
              <c:showCatName val="0"/>
              <c:showSerName val="0"/>
              <c:showPercent val="0"/>
              <c:showBubbleSize val="0"/>
            </c:dLbl>
            <c:dLbl>
              <c:idx val="3"/>
              <c:tx>
                <c:rich>
                  <a:bodyPr/>
                  <a:lstStyle/>
                  <a:p>
                    <a:r>
                      <a:rPr lang="en-US"/>
                      <a:t>103;</a:t>
                    </a:r>
                  </a:p>
                  <a:p>
                    <a:r>
                      <a:rPr lang="en-US"/>
                      <a:t>(9,73%)</a:t>
                    </a:r>
                  </a:p>
                </c:rich>
              </c:tx>
              <c:showLegendKey val="0"/>
              <c:showVal val="1"/>
              <c:showCatName val="0"/>
              <c:showSerName val="0"/>
              <c:showPercent val="0"/>
              <c:showBubbleSize val="0"/>
            </c:dLbl>
            <c:dLbl>
              <c:idx val="4"/>
              <c:tx>
                <c:rich>
                  <a:bodyPr/>
                  <a:lstStyle/>
                  <a:p>
                    <a:r>
                      <a:rPr lang="en-US"/>
                      <a:t>76;</a:t>
                    </a:r>
                  </a:p>
                  <a:p>
                    <a:r>
                      <a:rPr lang="en-US"/>
                      <a:t>(7,18%)</a:t>
                    </a:r>
                  </a:p>
                </c:rich>
              </c:tx>
              <c:showLegendKey val="0"/>
              <c:showVal val="1"/>
              <c:showCatName val="0"/>
              <c:showSerName val="0"/>
              <c:showPercent val="0"/>
              <c:showBubbleSize val="0"/>
            </c:dLbl>
            <c:dLbl>
              <c:idx val="5"/>
              <c:tx>
                <c:rich>
                  <a:bodyPr/>
                  <a:lstStyle/>
                  <a:p>
                    <a:r>
                      <a:rPr lang="en-US"/>
                      <a:t>32;</a:t>
                    </a:r>
                  </a:p>
                  <a:p>
                    <a:r>
                      <a:rPr lang="en-US"/>
                      <a:t>(3,02%)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Plan1!$A$2:$A$7</c:f>
              <c:strCache>
                <c:ptCount val="6"/>
                <c:pt idx="0">
                  <c:v>Lei Florestal</c:v>
                </c:pt>
                <c:pt idx="1">
                  <c:v>IGAM</c:v>
                </c:pt>
                <c:pt idx="2">
                  <c:v>Recursos FEAM</c:v>
                </c:pt>
                <c:pt idx="3">
                  <c:v>LEI 7772/80 e DN74</c:v>
                </c:pt>
                <c:pt idx="4">
                  <c:v>Fauna</c:v>
                </c:pt>
                <c:pt idx="5">
                  <c:v>Pesca</c:v>
                </c:pt>
              </c:strCache>
            </c:strRef>
          </c:cat>
          <c:val>
            <c:numRef>
              <c:f>Plan1!$B$2:$B$7</c:f>
              <c:numCache>
                <c:formatCode>General</c:formatCode>
                <c:ptCount val="6"/>
                <c:pt idx="0">
                  <c:v>577</c:v>
                </c:pt>
                <c:pt idx="1">
                  <c:v>156</c:v>
                </c:pt>
                <c:pt idx="2">
                  <c:v>115</c:v>
                </c:pt>
                <c:pt idx="3">
                  <c:v>103</c:v>
                </c:pt>
                <c:pt idx="4">
                  <c:v>76</c:v>
                </c:pt>
                <c:pt idx="5">
                  <c:v>32</c:v>
                </c:pt>
              </c:numCache>
            </c:numRef>
          </c:val>
        </c:ser>
        <c:dLbls>
          <c:showLegendKey val="0"/>
          <c:showVal val="0"/>
          <c:showCatName val="0"/>
          <c:showSerName val="0"/>
          <c:showPercent val="0"/>
          <c:showBubbleSize val="0"/>
        </c:dLbls>
        <c:gapWidth val="150"/>
        <c:axId val="179344896"/>
        <c:axId val="179346432"/>
      </c:barChart>
      <c:catAx>
        <c:axId val="179344896"/>
        <c:scaling>
          <c:orientation val="minMax"/>
        </c:scaling>
        <c:delete val="0"/>
        <c:axPos val="b"/>
        <c:majorTickMark val="out"/>
        <c:minorTickMark val="none"/>
        <c:tickLblPos val="nextTo"/>
        <c:crossAx val="179346432"/>
        <c:crosses val="autoZero"/>
        <c:auto val="1"/>
        <c:lblAlgn val="ctr"/>
        <c:lblOffset val="100"/>
        <c:noMultiLvlLbl val="0"/>
      </c:catAx>
      <c:valAx>
        <c:axId val="179346432"/>
        <c:scaling>
          <c:orientation val="minMax"/>
        </c:scaling>
        <c:delete val="0"/>
        <c:axPos val="l"/>
        <c:majorGridlines/>
        <c:numFmt formatCode="General" sourceLinked="1"/>
        <c:majorTickMark val="out"/>
        <c:minorTickMark val="none"/>
        <c:tickLblPos val="nextTo"/>
        <c:crossAx val="179344896"/>
        <c:crosses val="autoZero"/>
        <c:crossBetween val="between"/>
      </c:valAx>
    </c:plotArea>
    <c:legend>
      <c:legendPos val="r"/>
      <c:layout>
        <c:manualLayout>
          <c:xMode val="edge"/>
          <c:yMode val="edge"/>
          <c:x val="0.78948131081671702"/>
          <c:y val="0.1498701344387052"/>
          <c:w val="0.17781545685385541"/>
          <c:h val="0.1346172558720258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64731812369607"/>
          <c:y val="2.8469884231580918E-2"/>
          <c:w val="0.86335268187630387"/>
          <c:h val="0.81569844007427694"/>
        </c:manualLayout>
      </c:layout>
      <c:barChart>
        <c:barDir val="col"/>
        <c:grouping val="clustered"/>
        <c:varyColors val="0"/>
        <c:ser>
          <c:idx val="0"/>
          <c:order val="0"/>
          <c:tx>
            <c:strRef>
              <c:f>Plan1!$B$1</c:f>
              <c:strCache>
                <c:ptCount val="1"/>
                <c:pt idx="0">
                  <c:v>valor das multas</c:v>
                </c:pt>
              </c:strCache>
            </c:strRef>
          </c:tx>
          <c:invertIfNegative val="0"/>
          <c:dLbls>
            <c:dLbl>
              <c:idx val="0"/>
              <c:layout>
                <c:manualLayout>
                  <c:x val="0.15384598559795415"/>
                  <c:y val="4.5267489711934158E-2"/>
                </c:manualLayout>
              </c:layout>
              <c:tx>
                <c:rich>
                  <a:bodyPr/>
                  <a:lstStyle/>
                  <a:p>
                    <a:r>
                      <a:rPr lang="en-US"/>
                      <a:t>1.964.057,79;</a:t>
                    </a:r>
                  </a:p>
                  <a:p>
                    <a:r>
                      <a:rPr lang="en-US"/>
                      <a:t>(31,62%)</a:t>
                    </a:r>
                  </a:p>
                </c:rich>
              </c:tx>
              <c:showLegendKey val="0"/>
              <c:showVal val="1"/>
              <c:showCatName val="0"/>
              <c:showSerName val="0"/>
              <c:showPercent val="0"/>
              <c:showBubbleSize val="0"/>
            </c:dLbl>
            <c:dLbl>
              <c:idx val="1"/>
              <c:layout>
                <c:manualLayout>
                  <c:x val="0.20940170940170941"/>
                  <c:y val="0.46090534979423858"/>
                </c:manualLayout>
              </c:layout>
              <c:tx>
                <c:rich>
                  <a:bodyPr/>
                  <a:lstStyle/>
                  <a:p>
                    <a:r>
                      <a:rPr lang="en-US"/>
                      <a:t>546.995,55;</a:t>
                    </a:r>
                  </a:p>
                  <a:p>
                    <a:r>
                      <a:rPr lang="en-US"/>
                      <a:t>(8,81%)</a:t>
                    </a:r>
                  </a:p>
                </c:rich>
              </c:tx>
              <c:showLegendKey val="0"/>
              <c:showVal val="1"/>
              <c:showCatName val="0"/>
              <c:showSerName val="0"/>
              <c:showPercent val="0"/>
              <c:showBubbleSize val="0"/>
            </c:dLbl>
            <c:dLbl>
              <c:idx val="2"/>
              <c:layout>
                <c:manualLayout>
                  <c:x val="-0.20085470085470086"/>
                  <c:y val="-0.29629629629629628"/>
                </c:manualLayout>
              </c:layout>
              <c:tx>
                <c:rich>
                  <a:bodyPr/>
                  <a:lstStyle/>
                  <a:p>
                    <a:r>
                      <a:rPr lang="en-US"/>
                      <a:t>2.117.471,40;</a:t>
                    </a:r>
                  </a:p>
                  <a:p>
                    <a:r>
                      <a:rPr lang="en-US"/>
                      <a:t>(34,09%)</a:t>
                    </a:r>
                  </a:p>
                </c:rich>
              </c:tx>
              <c:showLegendKey val="0"/>
              <c:showVal val="1"/>
              <c:showCatName val="0"/>
              <c:showSerName val="0"/>
              <c:showPercent val="0"/>
              <c:showBubbleSize val="0"/>
            </c:dLbl>
            <c:dLbl>
              <c:idx val="3"/>
              <c:layout>
                <c:manualLayout>
                  <c:x val="-0.10470085470085466"/>
                  <c:y val="-0.20987654320987653"/>
                </c:manualLayout>
              </c:layout>
              <c:tx>
                <c:rich>
                  <a:bodyPr/>
                  <a:lstStyle/>
                  <a:p>
                    <a:r>
                      <a:rPr lang="en-US"/>
                      <a:t>1.189.895,67;</a:t>
                    </a:r>
                  </a:p>
                  <a:p>
                    <a:r>
                      <a:rPr lang="en-US"/>
                      <a:t>(19,15%)</a:t>
                    </a:r>
                  </a:p>
                </c:rich>
              </c:tx>
              <c:showLegendKey val="0"/>
              <c:showVal val="1"/>
              <c:showCatName val="0"/>
              <c:showSerName val="0"/>
              <c:showPercent val="0"/>
              <c:showBubbleSize val="0"/>
            </c:dLbl>
            <c:dLbl>
              <c:idx val="4"/>
              <c:tx>
                <c:rich>
                  <a:bodyPr/>
                  <a:lstStyle/>
                  <a:p>
                    <a:r>
                      <a:rPr lang="en-US"/>
                      <a:t>325.978,51;</a:t>
                    </a:r>
                  </a:p>
                  <a:p>
                    <a:r>
                      <a:rPr lang="en-US"/>
                      <a:t>(5,25%)</a:t>
                    </a:r>
                  </a:p>
                </c:rich>
              </c:tx>
              <c:showLegendKey val="0"/>
              <c:showVal val="1"/>
              <c:showCatName val="0"/>
              <c:showSerName val="0"/>
              <c:showPercent val="0"/>
              <c:showBubbleSize val="0"/>
            </c:dLbl>
            <c:dLbl>
              <c:idx val="5"/>
              <c:tx>
                <c:rich>
                  <a:bodyPr/>
                  <a:lstStyle/>
                  <a:p>
                    <a:r>
                      <a:rPr lang="en-US"/>
                      <a:t>67.386,37;</a:t>
                    </a:r>
                  </a:p>
                  <a:p>
                    <a:r>
                      <a:rPr lang="en-US"/>
                      <a:t>(1,08%)</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Plan1!$A$2:$A$9</c:f>
              <c:strCache>
                <c:ptCount val="6"/>
                <c:pt idx="0">
                  <c:v>Recursos FEAM</c:v>
                </c:pt>
                <c:pt idx="1">
                  <c:v>Lei Florestal</c:v>
                </c:pt>
                <c:pt idx="2">
                  <c:v>LEI 7772/80 e DN74</c:v>
                </c:pt>
                <c:pt idx="3">
                  <c:v>IGAM</c:v>
                </c:pt>
                <c:pt idx="4">
                  <c:v>Fauna</c:v>
                </c:pt>
                <c:pt idx="5">
                  <c:v>Pesca</c:v>
                </c:pt>
              </c:strCache>
            </c:strRef>
          </c:cat>
          <c:val>
            <c:numRef>
              <c:f>Plan1!$B$2:$B$9</c:f>
              <c:numCache>
                <c:formatCode>#,##0.00</c:formatCode>
                <c:ptCount val="8"/>
                <c:pt idx="0">
                  <c:v>2117471.4</c:v>
                </c:pt>
                <c:pt idx="1">
                  <c:v>1964057.79</c:v>
                </c:pt>
                <c:pt idx="2">
                  <c:v>1189895.67</c:v>
                </c:pt>
                <c:pt idx="3">
                  <c:v>546995.55000000005</c:v>
                </c:pt>
                <c:pt idx="4">
                  <c:v>325978.51</c:v>
                </c:pt>
                <c:pt idx="5">
                  <c:v>67386.37</c:v>
                </c:pt>
              </c:numCache>
            </c:numRef>
          </c:val>
        </c:ser>
        <c:dLbls>
          <c:showLegendKey val="0"/>
          <c:showVal val="0"/>
          <c:showCatName val="0"/>
          <c:showSerName val="0"/>
          <c:showPercent val="0"/>
          <c:showBubbleSize val="0"/>
        </c:dLbls>
        <c:gapWidth val="150"/>
        <c:axId val="162282496"/>
        <c:axId val="162284288"/>
      </c:barChart>
      <c:catAx>
        <c:axId val="162282496"/>
        <c:scaling>
          <c:orientation val="minMax"/>
        </c:scaling>
        <c:delete val="0"/>
        <c:axPos val="b"/>
        <c:majorTickMark val="out"/>
        <c:minorTickMark val="none"/>
        <c:tickLblPos val="nextTo"/>
        <c:crossAx val="162284288"/>
        <c:crosses val="autoZero"/>
        <c:auto val="1"/>
        <c:lblAlgn val="ctr"/>
        <c:lblOffset val="100"/>
        <c:noMultiLvlLbl val="0"/>
      </c:catAx>
      <c:valAx>
        <c:axId val="162284288"/>
        <c:scaling>
          <c:orientation val="minMax"/>
        </c:scaling>
        <c:delete val="0"/>
        <c:axPos val="l"/>
        <c:majorGridlines/>
        <c:numFmt formatCode="#,##0.00" sourceLinked="1"/>
        <c:majorTickMark val="out"/>
        <c:minorTickMark val="none"/>
        <c:tickLblPos val="nextTo"/>
        <c:crossAx val="162282496"/>
        <c:crosses val="autoZero"/>
        <c:crossBetween val="between"/>
      </c:valAx>
    </c:plotArea>
    <c:legend>
      <c:legendPos val="r"/>
      <c:layout>
        <c:manualLayout>
          <c:xMode val="edge"/>
          <c:yMode val="edge"/>
          <c:x val="0.75553469277878726"/>
          <c:y val="0.39725924742262358"/>
          <c:w val="0.17822599098189648"/>
          <c:h val="7.445644103833686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12376028438693E-2"/>
          <c:y val="9.7561576210270812E-2"/>
          <c:w val="0.82112788847350338"/>
          <c:h val="0.72382869562119212"/>
        </c:manualLayout>
      </c:layout>
      <c:barChart>
        <c:barDir val="col"/>
        <c:grouping val="clustered"/>
        <c:varyColors val="0"/>
        <c:ser>
          <c:idx val="0"/>
          <c:order val="0"/>
          <c:tx>
            <c:strRef>
              <c:f>Plan1!$B$1</c:f>
              <c:strCache>
                <c:ptCount val="1"/>
                <c:pt idx="0">
                  <c:v>Valor das Multas</c:v>
                </c:pt>
              </c:strCache>
            </c:strRef>
          </c:tx>
          <c:invertIfNegative val="0"/>
          <c:dLbls>
            <c:dLbl>
              <c:idx val="0"/>
              <c:tx>
                <c:rich>
                  <a:bodyPr/>
                  <a:lstStyle/>
                  <a:p>
                    <a:r>
                      <a:rPr lang="en-US"/>
                      <a:t>3.344.632,81;</a:t>
                    </a:r>
                  </a:p>
                  <a:p>
                    <a:r>
                      <a:rPr lang="en-US"/>
                      <a:t>(53,84%)</a:t>
                    </a:r>
                  </a:p>
                </c:rich>
              </c:tx>
              <c:showLegendKey val="0"/>
              <c:showVal val="1"/>
              <c:showCatName val="0"/>
              <c:showSerName val="0"/>
              <c:showPercent val="0"/>
              <c:showBubbleSize val="0"/>
            </c:dLbl>
            <c:dLbl>
              <c:idx val="1"/>
              <c:tx>
                <c:rich>
                  <a:bodyPr/>
                  <a:lstStyle/>
                  <a:p>
                    <a:r>
                      <a:rPr lang="en-US"/>
                      <a:t>2.412.702,01;</a:t>
                    </a:r>
                  </a:p>
                  <a:p>
                    <a:r>
                      <a:rPr lang="en-US"/>
                      <a:t>(38,84%)</a:t>
                    </a:r>
                  </a:p>
                </c:rich>
              </c:tx>
              <c:showLegendKey val="0"/>
              <c:showVal val="1"/>
              <c:showCatName val="0"/>
              <c:showSerName val="0"/>
              <c:showPercent val="0"/>
              <c:showBubbleSize val="0"/>
            </c:dLbl>
            <c:dLbl>
              <c:idx val="2"/>
              <c:tx>
                <c:rich>
                  <a:bodyPr/>
                  <a:lstStyle/>
                  <a:p>
                    <a:r>
                      <a:rPr lang="en-US"/>
                      <a:t>454.450,47;</a:t>
                    </a:r>
                  </a:p>
                  <a:p>
                    <a:r>
                      <a:rPr lang="en-US"/>
                      <a:t>(7,32%)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Plan1!$A$2:$A$4</c:f>
              <c:strCache>
                <c:ptCount val="3"/>
                <c:pt idx="0">
                  <c:v>Pessoa Física</c:v>
                </c:pt>
                <c:pt idx="1">
                  <c:v>Órgão Privado</c:v>
                </c:pt>
                <c:pt idx="2">
                  <c:v>Órgão Público</c:v>
                </c:pt>
              </c:strCache>
            </c:strRef>
          </c:cat>
          <c:val>
            <c:numRef>
              <c:f>Plan1!$B$2:$B$4</c:f>
              <c:numCache>
                <c:formatCode>General</c:formatCode>
                <c:ptCount val="3"/>
                <c:pt idx="0">
                  <c:v>3344632.81</c:v>
                </c:pt>
                <c:pt idx="1">
                  <c:v>2412702.0099999998</c:v>
                </c:pt>
                <c:pt idx="2">
                  <c:v>454450.47</c:v>
                </c:pt>
              </c:numCache>
            </c:numRef>
          </c:val>
        </c:ser>
        <c:dLbls>
          <c:showLegendKey val="0"/>
          <c:showVal val="0"/>
          <c:showCatName val="0"/>
          <c:showSerName val="0"/>
          <c:showPercent val="0"/>
          <c:showBubbleSize val="0"/>
        </c:dLbls>
        <c:gapWidth val="150"/>
        <c:axId val="162292096"/>
        <c:axId val="162293632"/>
      </c:barChart>
      <c:catAx>
        <c:axId val="162292096"/>
        <c:scaling>
          <c:orientation val="minMax"/>
        </c:scaling>
        <c:delete val="0"/>
        <c:axPos val="b"/>
        <c:majorTickMark val="out"/>
        <c:minorTickMark val="none"/>
        <c:tickLblPos val="nextTo"/>
        <c:crossAx val="162293632"/>
        <c:crosses val="autoZero"/>
        <c:auto val="1"/>
        <c:lblAlgn val="ctr"/>
        <c:lblOffset val="100"/>
        <c:noMultiLvlLbl val="0"/>
      </c:catAx>
      <c:valAx>
        <c:axId val="162293632"/>
        <c:scaling>
          <c:orientation val="minMax"/>
        </c:scaling>
        <c:delete val="0"/>
        <c:axPos val="l"/>
        <c:majorGridlines/>
        <c:numFmt formatCode="General" sourceLinked="1"/>
        <c:majorTickMark val="out"/>
        <c:minorTickMark val="none"/>
        <c:tickLblPos val="nextTo"/>
        <c:crossAx val="162292096"/>
        <c:crosses val="autoZero"/>
        <c:crossBetween val="between"/>
      </c:valAx>
    </c:plotArea>
    <c:legend>
      <c:legendPos val="r"/>
      <c:layout>
        <c:manualLayout>
          <c:xMode val="edge"/>
          <c:yMode val="edge"/>
          <c:x val="0.74680350495462711"/>
          <c:y val="0.16379377917126875"/>
          <c:w val="0.21526624052042301"/>
          <c:h val="0.1168552829957303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28014395501912E-2"/>
          <c:y val="2.8469884231580918E-2"/>
          <c:w val="0.91047198560449805"/>
          <c:h val="0.80444135852624421"/>
        </c:manualLayout>
      </c:layout>
      <c:barChart>
        <c:barDir val="col"/>
        <c:grouping val="clustered"/>
        <c:varyColors val="0"/>
        <c:ser>
          <c:idx val="0"/>
          <c:order val="0"/>
          <c:tx>
            <c:strRef>
              <c:f>Plan1!$B$1</c:f>
              <c:strCache>
                <c:ptCount val="1"/>
                <c:pt idx="0">
                  <c:v>número de situações</c:v>
                </c:pt>
              </c:strCache>
            </c:strRef>
          </c:tx>
          <c:invertIfNegative val="0"/>
          <c:dLbls>
            <c:dLbl>
              <c:idx val="0"/>
              <c:layout>
                <c:manualLayout>
                  <c:x val="2.1365838885523923E-3"/>
                  <c:y val="0"/>
                </c:manualLayout>
              </c:layout>
              <c:tx>
                <c:rich>
                  <a:bodyPr/>
                  <a:lstStyle/>
                  <a:p>
                    <a:r>
                      <a:rPr lang="en-US"/>
                      <a:t>975;</a:t>
                    </a:r>
                  </a:p>
                  <a:p>
                    <a:r>
                      <a:rPr lang="en-US"/>
                      <a:t>(47,94%)</a:t>
                    </a:r>
                  </a:p>
                </c:rich>
              </c:tx>
              <c:showLegendKey val="0"/>
              <c:showVal val="1"/>
              <c:showCatName val="0"/>
              <c:showSerName val="0"/>
              <c:showPercent val="0"/>
              <c:showBubbleSize val="0"/>
            </c:dLbl>
            <c:dLbl>
              <c:idx val="1"/>
              <c:tx>
                <c:rich>
                  <a:bodyPr/>
                  <a:lstStyle/>
                  <a:p>
                    <a:pPr>
                      <a:defRPr/>
                    </a:pPr>
                    <a:r>
                      <a:rPr lang="en-US"/>
                      <a:t>545;</a:t>
                    </a:r>
                  </a:p>
                  <a:p>
                    <a:pPr>
                      <a:defRPr/>
                    </a:pPr>
                    <a:r>
                      <a:rPr lang="en-US"/>
                      <a:t>(26,79%)</a:t>
                    </a:r>
                  </a:p>
                </c:rich>
              </c:tx>
              <c:numFmt formatCode="General" sourceLinked="0"/>
              <c:spPr/>
              <c:showLegendKey val="0"/>
              <c:showVal val="1"/>
              <c:showCatName val="0"/>
              <c:showSerName val="0"/>
              <c:showPercent val="0"/>
              <c:showBubbleSize val="0"/>
            </c:dLbl>
            <c:dLbl>
              <c:idx val="2"/>
              <c:tx>
                <c:rich>
                  <a:bodyPr/>
                  <a:lstStyle/>
                  <a:p>
                    <a:r>
                      <a:rPr lang="en-US"/>
                      <a:t>174;</a:t>
                    </a:r>
                  </a:p>
                  <a:p>
                    <a:r>
                      <a:rPr lang="en-US"/>
                      <a:t>(8,55%)</a:t>
                    </a:r>
                  </a:p>
                </c:rich>
              </c:tx>
              <c:showLegendKey val="0"/>
              <c:showVal val="1"/>
              <c:showCatName val="0"/>
              <c:showSerName val="0"/>
              <c:showPercent val="0"/>
              <c:showBubbleSize val="0"/>
            </c:dLbl>
            <c:dLbl>
              <c:idx val="3"/>
              <c:tx>
                <c:rich>
                  <a:bodyPr/>
                  <a:lstStyle/>
                  <a:p>
                    <a:r>
                      <a:rPr lang="en-US"/>
                      <a:t>142;</a:t>
                    </a:r>
                  </a:p>
                  <a:p>
                    <a:r>
                      <a:rPr lang="en-US"/>
                      <a:t>(6,98%)</a:t>
                    </a:r>
                  </a:p>
                </c:rich>
              </c:tx>
              <c:showLegendKey val="0"/>
              <c:showVal val="1"/>
              <c:showCatName val="0"/>
              <c:showSerName val="0"/>
              <c:showPercent val="0"/>
              <c:showBubbleSize val="0"/>
            </c:dLbl>
            <c:dLbl>
              <c:idx val="4"/>
              <c:tx>
                <c:rich>
                  <a:bodyPr/>
                  <a:lstStyle/>
                  <a:p>
                    <a:r>
                      <a:rPr lang="en-US"/>
                      <a:t>110;</a:t>
                    </a:r>
                  </a:p>
                  <a:p>
                    <a:r>
                      <a:rPr lang="en-US"/>
                      <a:t>(5,41%)</a:t>
                    </a:r>
                  </a:p>
                </c:rich>
              </c:tx>
              <c:showLegendKey val="0"/>
              <c:showVal val="1"/>
              <c:showCatName val="0"/>
              <c:showSerName val="0"/>
              <c:showPercent val="0"/>
              <c:showBubbleSize val="0"/>
            </c:dLbl>
            <c:dLbl>
              <c:idx val="5"/>
              <c:tx>
                <c:rich>
                  <a:bodyPr/>
                  <a:lstStyle/>
                  <a:p>
                    <a:r>
                      <a:rPr lang="en-US"/>
                      <a:t>51;</a:t>
                    </a:r>
                  </a:p>
                  <a:p>
                    <a:r>
                      <a:rPr lang="en-US"/>
                      <a:t>(2,51%)</a:t>
                    </a:r>
                  </a:p>
                </c:rich>
              </c:tx>
              <c:showLegendKey val="0"/>
              <c:showVal val="1"/>
              <c:showCatName val="0"/>
              <c:showSerName val="0"/>
              <c:showPercent val="0"/>
              <c:showBubbleSize val="0"/>
            </c:dLbl>
            <c:dLbl>
              <c:idx val="6"/>
              <c:tx>
                <c:rich>
                  <a:bodyPr/>
                  <a:lstStyle/>
                  <a:p>
                    <a:r>
                      <a:rPr lang="en-US"/>
                      <a:t>25;</a:t>
                    </a:r>
                  </a:p>
                  <a:p>
                    <a:r>
                      <a:rPr lang="en-US"/>
                      <a:t>(1,23%)</a:t>
                    </a:r>
                  </a:p>
                </c:rich>
              </c:tx>
              <c:showLegendKey val="0"/>
              <c:showVal val="1"/>
              <c:showCatName val="0"/>
              <c:showSerName val="0"/>
              <c:showPercent val="0"/>
              <c:showBubbleSize val="0"/>
            </c:dLbl>
            <c:dLbl>
              <c:idx val="7"/>
              <c:tx>
                <c:rich>
                  <a:bodyPr/>
                  <a:lstStyle/>
                  <a:p>
                    <a:r>
                      <a:rPr lang="en-US"/>
                      <a:t>9;</a:t>
                    </a:r>
                  </a:p>
                  <a:p>
                    <a:r>
                      <a:rPr lang="en-US"/>
                      <a:t>(0,44%)</a:t>
                    </a:r>
                  </a:p>
                </c:rich>
              </c:tx>
              <c:showLegendKey val="0"/>
              <c:showVal val="1"/>
              <c:showCatName val="0"/>
              <c:showSerName val="0"/>
              <c:showPercent val="0"/>
              <c:showBubbleSize val="0"/>
            </c:dLbl>
            <c:dLbl>
              <c:idx val="8"/>
              <c:tx>
                <c:rich>
                  <a:bodyPr/>
                  <a:lstStyle/>
                  <a:p>
                    <a:r>
                      <a:rPr lang="en-US"/>
                      <a:t>3;</a:t>
                    </a:r>
                  </a:p>
                  <a:p>
                    <a:r>
                      <a:rPr lang="en-US"/>
                      <a:t>(0,15%)</a:t>
                    </a:r>
                  </a:p>
                </c:rich>
              </c:tx>
              <c:showLegendKey val="0"/>
              <c:showVal val="1"/>
              <c:showCatName val="0"/>
              <c:showSerName val="0"/>
              <c:showPercent val="0"/>
              <c:showBubbleSize val="0"/>
            </c:dLbl>
            <c:dLbl>
              <c:idx val="9"/>
              <c:tx>
                <c:rich>
                  <a:bodyPr/>
                  <a:lstStyle/>
                  <a:p>
                    <a:r>
                      <a:rPr lang="en-US"/>
                      <a:t>0;</a:t>
                    </a:r>
                  </a:p>
                  <a:p>
                    <a:r>
                      <a:rPr lang="en-US"/>
                      <a:t>(0%)</a:t>
                    </a:r>
                  </a:p>
                </c:rich>
              </c:tx>
              <c:showLegendKey val="0"/>
              <c:showVal val="1"/>
              <c:showCatName val="0"/>
              <c:showSerName val="0"/>
              <c:showPercent val="0"/>
              <c:showBubbleSize val="0"/>
            </c:dLbl>
            <c:dLbl>
              <c:idx val="10"/>
              <c:tx>
                <c:rich>
                  <a:bodyPr/>
                  <a:lstStyle/>
                  <a:p>
                    <a:r>
                      <a:rPr lang="en-US"/>
                      <a:t>0;</a:t>
                    </a:r>
                  </a:p>
                  <a:p>
                    <a:r>
                      <a:rPr lang="en-US"/>
                      <a:t>(0%)</a:t>
                    </a:r>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Plan1!$A$2:$A$12</c:f>
              <c:strCache>
                <c:ptCount val="11"/>
                <c:pt idx="0">
                  <c:v>multa simples</c:v>
                </c:pt>
                <c:pt idx="1">
                  <c:v>Suspensão</c:v>
                </c:pt>
                <c:pt idx="2">
                  <c:v>Apreensão</c:v>
                </c:pt>
                <c:pt idx="3">
                  <c:v>Embargo</c:v>
                </c:pt>
                <c:pt idx="4">
                  <c:v>advt.</c:v>
                </c:pt>
                <c:pt idx="5">
                  <c:v>Dem. Obra</c:v>
                </c:pt>
                <c:pt idx="6">
                  <c:v>Rest. Direito</c:v>
                </c:pt>
                <c:pt idx="7">
                  <c:v>Emb. Obra</c:v>
                </c:pt>
                <c:pt idx="8">
                  <c:v>multa diária</c:v>
                </c:pt>
                <c:pt idx="9">
                  <c:v>Susp. Fabricação</c:v>
                </c:pt>
                <c:pt idx="10">
                  <c:v>Susp. Venda</c:v>
                </c:pt>
              </c:strCache>
            </c:strRef>
          </c:cat>
          <c:val>
            <c:numRef>
              <c:f>Plan1!$B$2:$B$12</c:f>
              <c:numCache>
                <c:formatCode>General</c:formatCode>
                <c:ptCount val="11"/>
                <c:pt idx="0">
                  <c:v>975</c:v>
                </c:pt>
                <c:pt idx="1">
                  <c:v>545</c:v>
                </c:pt>
                <c:pt idx="2">
                  <c:v>174</c:v>
                </c:pt>
                <c:pt idx="3">
                  <c:v>142</c:v>
                </c:pt>
                <c:pt idx="4">
                  <c:v>110</c:v>
                </c:pt>
                <c:pt idx="5">
                  <c:v>51</c:v>
                </c:pt>
                <c:pt idx="6">
                  <c:v>25</c:v>
                </c:pt>
                <c:pt idx="7">
                  <c:v>9</c:v>
                </c:pt>
                <c:pt idx="8">
                  <c:v>3</c:v>
                </c:pt>
                <c:pt idx="9">
                  <c:v>0</c:v>
                </c:pt>
                <c:pt idx="10">
                  <c:v>0</c:v>
                </c:pt>
              </c:numCache>
            </c:numRef>
          </c:val>
        </c:ser>
        <c:dLbls>
          <c:showLegendKey val="0"/>
          <c:showVal val="0"/>
          <c:showCatName val="0"/>
          <c:showSerName val="0"/>
          <c:showPercent val="0"/>
          <c:showBubbleSize val="0"/>
        </c:dLbls>
        <c:gapWidth val="150"/>
        <c:axId val="162609408"/>
        <c:axId val="162611200"/>
      </c:barChart>
      <c:catAx>
        <c:axId val="162609408"/>
        <c:scaling>
          <c:orientation val="minMax"/>
        </c:scaling>
        <c:delete val="0"/>
        <c:axPos val="b"/>
        <c:majorTickMark val="out"/>
        <c:minorTickMark val="none"/>
        <c:tickLblPos val="nextTo"/>
        <c:txPr>
          <a:bodyPr/>
          <a:lstStyle/>
          <a:p>
            <a:pPr>
              <a:defRPr sz="700" baseline="0"/>
            </a:pPr>
            <a:endParaRPr lang="pt-BR"/>
          </a:p>
        </c:txPr>
        <c:crossAx val="162611200"/>
        <c:crosses val="autoZero"/>
        <c:auto val="1"/>
        <c:lblAlgn val="ctr"/>
        <c:lblOffset val="100"/>
        <c:noMultiLvlLbl val="0"/>
      </c:catAx>
      <c:valAx>
        <c:axId val="162611200"/>
        <c:scaling>
          <c:orientation val="minMax"/>
        </c:scaling>
        <c:delete val="0"/>
        <c:axPos val="l"/>
        <c:majorGridlines/>
        <c:numFmt formatCode="General" sourceLinked="1"/>
        <c:majorTickMark val="out"/>
        <c:minorTickMark val="none"/>
        <c:tickLblPos val="nextTo"/>
        <c:crossAx val="162609408"/>
        <c:crosses val="autoZero"/>
        <c:crossBetween val="between"/>
      </c:valAx>
    </c:plotArea>
    <c:legend>
      <c:legendPos val="r"/>
      <c:layout>
        <c:manualLayout>
          <c:xMode val="edge"/>
          <c:yMode val="edge"/>
          <c:x val="0.64511866086669234"/>
          <c:y val="0.33435768445610964"/>
          <c:w val="0.31547996139790585"/>
          <c:h val="7.9516258384368627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096960705998704E-2"/>
          <c:y val="5.1488727568306997E-2"/>
          <c:w val="0.92489039768840142"/>
          <c:h val="0.58829586111032905"/>
        </c:manualLayout>
      </c:layout>
      <c:barChart>
        <c:barDir val="col"/>
        <c:grouping val="clustered"/>
        <c:varyColors val="0"/>
        <c:ser>
          <c:idx val="0"/>
          <c:order val="0"/>
          <c:tx>
            <c:strRef>
              <c:f>Plan1!$B$1</c:f>
              <c:strCache>
                <c:ptCount val="1"/>
                <c:pt idx="0">
                  <c:v>Lei Florestal</c:v>
                </c:pt>
              </c:strCache>
            </c:strRef>
          </c:tx>
          <c:invertIfNegative val="0"/>
          <c:dLbls>
            <c:showLegendKey val="0"/>
            <c:showVal val="1"/>
            <c:showCatName val="0"/>
            <c:showSerName val="0"/>
            <c:showPercent val="0"/>
            <c:showBubbleSize val="0"/>
            <c:showLeaderLines val="0"/>
          </c:dLbls>
          <c:cat>
            <c:strRef>
              <c:f>Plan1!$A$2:$A$9</c:f>
              <c:strCache>
                <c:ptCount val="8"/>
                <c:pt idx="0">
                  <c:v>Primeiro Verão (01/01 - 28/02 -2015)</c:v>
                </c:pt>
                <c:pt idx="1">
                  <c:v>Primeiro Outono (01/03 - 31/05 -2015)</c:v>
                </c:pt>
                <c:pt idx="2">
                  <c:v>Primeiro Inverno(01/06 - 31/08 -2015)</c:v>
                </c:pt>
                <c:pt idx="3">
                  <c:v>Primeira Primavera(01/09 - 30/11 -2015)</c:v>
                </c:pt>
                <c:pt idx="4">
                  <c:v>Segundo Verão(01/12/2015 - 29/02 -2016)</c:v>
                </c:pt>
                <c:pt idx="5">
                  <c:v>Segundo Outono(01/03 - 31/05 -2016)</c:v>
                </c:pt>
                <c:pt idx="6">
                  <c:v>Segundo Inverno (01/06 - 31/08 -2016)</c:v>
                </c:pt>
                <c:pt idx="7">
                  <c:v>Segunda Primavera (01/09 - 01/10 - 2016)</c:v>
                </c:pt>
              </c:strCache>
            </c:strRef>
          </c:cat>
          <c:val>
            <c:numRef>
              <c:f>Plan1!$B$2:$B$9</c:f>
              <c:numCache>
                <c:formatCode>General</c:formatCode>
                <c:ptCount val="8"/>
                <c:pt idx="0">
                  <c:v>3</c:v>
                </c:pt>
                <c:pt idx="1">
                  <c:v>45</c:v>
                </c:pt>
                <c:pt idx="2">
                  <c:v>49</c:v>
                </c:pt>
                <c:pt idx="3">
                  <c:v>27</c:v>
                </c:pt>
                <c:pt idx="4">
                  <c:v>164</c:v>
                </c:pt>
                <c:pt idx="5">
                  <c:v>88</c:v>
                </c:pt>
                <c:pt idx="6">
                  <c:v>125</c:v>
                </c:pt>
                <c:pt idx="7">
                  <c:v>76</c:v>
                </c:pt>
              </c:numCache>
            </c:numRef>
          </c:val>
        </c:ser>
        <c:ser>
          <c:idx val="1"/>
          <c:order val="1"/>
          <c:tx>
            <c:strRef>
              <c:f>Plan1!$C$1</c:f>
              <c:strCache>
                <c:ptCount val="1"/>
                <c:pt idx="0">
                  <c:v>IGAM</c:v>
                </c:pt>
              </c:strCache>
            </c:strRef>
          </c:tx>
          <c:invertIfNegative val="0"/>
          <c:dLbls>
            <c:dLbl>
              <c:idx val="6"/>
              <c:layout>
                <c:manualLayout>
                  <c:x val="3.8647342995169081E-3"/>
                  <c:y val="8.38574423480083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Plan1!$A$2:$A$9</c:f>
              <c:strCache>
                <c:ptCount val="8"/>
                <c:pt idx="0">
                  <c:v>Primeiro Verão (01/01 - 28/02 -2015)</c:v>
                </c:pt>
                <c:pt idx="1">
                  <c:v>Primeiro Outono (01/03 - 31/05 -2015)</c:v>
                </c:pt>
                <c:pt idx="2">
                  <c:v>Primeiro Inverno(01/06 - 31/08 -2015)</c:v>
                </c:pt>
                <c:pt idx="3">
                  <c:v>Primeira Primavera(01/09 - 30/11 -2015)</c:v>
                </c:pt>
                <c:pt idx="4">
                  <c:v>Segundo Verão(01/12/2015 - 29/02 -2016)</c:v>
                </c:pt>
                <c:pt idx="5">
                  <c:v>Segundo Outono(01/03 - 31/05 -2016)</c:v>
                </c:pt>
                <c:pt idx="6">
                  <c:v>Segundo Inverno (01/06 - 31/08 -2016)</c:v>
                </c:pt>
                <c:pt idx="7">
                  <c:v>Segunda Primavera (01/09 - 01/10 - 2016)</c:v>
                </c:pt>
              </c:strCache>
            </c:strRef>
          </c:cat>
          <c:val>
            <c:numRef>
              <c:f>Plan1!$C$2:$C$9</c:f>
              <c:numCache>
                <c:formatCode>General</c:formatCode>
                <c:ptCount val="8"/>
                <c:pt idx="0">
                  <c:v>1</c:v>
                </c:pt>
                <c:pt idx="1">
                  <c:v>20</c:v>
                </c:pt>
                <c:pt idx="2">
                  <c:v>19</c:v>
                </c:pt>
                <c:pt idx="3">
                  <c:v>18</c:v>
                </c:pt>
                <c:pt idx="4">
                  <c:v>30</c:v>
                </c:pt>
                <c:pt idx="5">
                  <c:v>20</c:v>
                </c:pt>
                <c:pt idx="6">
                  <c:v>31</c:v>
                </c:pt>
                <c:pt idx="7">
                  <c:v>17</c:v>
                </c:pt>
              </c:numCache>
            </c:numRef>
          </c:val>
        </c:ser>
        <c:ser>
          <c:idx val="2"/>
          <c:order val="2"/>
          <c:tx>
            <c:strRef>
              <c:f>Plan1!$D$1</c:f>
              <c:strCache>
                <c:ptCount val="1"/>
                <c:pt idx="0">
                  <c:v>Recursos FEAM</c:v>
                </c:pt>
              </c:strCache>
            </c:strRef>
          </c:tx>
          <c:invertIfNegative val="0"/>
          <c:dLbls>
            <c:dLbl>
              <c:idx val="5"/>
              <c:layout>
                <c:manualLayout>
                  <c:x val="0"/>
                  <c:y val="-1.3976240391334731E-2"/>
                </c:manualLayout>
              </c:layout>
              <c:showLegendKey val="0"/>
              <c:showVal val="1"/>
              <c:showCatName val="0"/>
              <c:showSerName val="0"/>
              <c:showPercent val="0"/>
              <c:showBubbleSize val="0"/>
            </c:dLbl>
            <c:dLbl>
              <c:idx val="6"/>
              <c:layout>
                <c:manualLayout>
                  <c:x val="0"/>
                  <c:y val="-1.6771488469601678E-2"/>
                </c:manualLayout>
              </c:layout>
              <c:showLegendKey val="0"/>
              <c:showVal val="1"/>
              <c:showCatName val="0"/>
              <c:showSerName val="0"/>
              <c:showPercent val="0"/>
              <c:showBubbleSize val="0"/>
            </c:dLbl>
            <c:dLbl>
              <c:idx val="7"/>
              <c:layout>
                <c:manualLayout>
                  <c:x val="7.7294685990338162E-3"/>
                  <c:y val="8.38574423480083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Plan1!$A$2:$A$9</c:f>
              <c:strCache>
                <c:ptCount val="8"/>
                <c:pt idx="0">
                  <c:v>Primeiro Verão (01/01 - 28/02 -2015)</c:v>
                </c:pt>
                <c:pt idx="1">
                  <c:v>Primeiro Outono (01/03 - 31/05 -2015)</c:v>
                </c:pt>
                <c:pt idx="2">
                  <c:v>Primeiro Inverno(01/06 - 31/08 -2015)</c:v>
                </c:pt>
                <c:pt idx="3">
                  <c:v>Primeira Primavera(01/09 - 30/11 -2015)</c:v>
                </c:pt>
                <c:pt idx="4">
                  <c:v>Segundo Verão(01/12/2015 - 29/02 -2016)</c:v>
                </c:pt>
                <c:pt idx="5">
                  <c:v>Segundo Outono(01/03 - 31/05 -2016)</c:v>
                </c:pt>
                <c:pt idx="6">
                  <c:v>Segundo Inverno (01/06 - 31/08 -2016)</c:v>
                </c:pt>
                <c:pt idx="7">
                  <c:v>Segunda Primavera (01/09 - 01/10 - 2016)</c:v>
                </c:pt>
              </c:strCache>
            </c:strRef>
          </c:cat>
          <c:val>
            <c:numRef>
              <c:f>Plan1!$D$2:$D$9</c:f>
              <c:numCache>
                <c:formatCode>General</c:formatCode>
                <c:ptCount val="8"/>
                <c:pt idx="0">
                  <c:v>1</c:v>
                </c:pt>
                <c:pt idx="1">
                  <c:v>0</c:v>
                </c:pt>
                <c:pt idx="2">
                  <c:v>4</c:v>
                </c:pt>
                <c:pt idx="3">
                  <c:v>10</c:v>
                </c:pt>
                <c:pt idx="4">
                  <c:v>27</c:v>
                </c:pt>
                <c:pt idx="5">
                  <c:v>21</c:v>
                </c:pt>
                <c:pt idx="6">
                  <c:v>33</c:v>
                </c:pt>
                <c:pt idx="7">
                  <c:v>19</c:v>
                </c:pt>
              </c:numCache>
            </c:numRef>
          </c:val>
        </c:ser>
        <c:ser>
          <c:idx val="3"/>
          <c:order val="3"/>
          <c:tx>
            <c:strRef>
              <c:f>Plan1!$E$1</c:f>
              <c:strCache>
                <c:ptCount val="1"/>
                <c:pt idx="0">
                  <c:v>Lei 7772/80 e DN74</c:v>
                </c:pt>
              </c:strCache>
            </c:strRef>
          </c:tx>
          <c:invertIfNegative val="0"/>
          <c:dLbls>
            <c:showLegendKey val="0"/>
            <c:showVal val="1"/>
            <c:showCatName val="0"/>
            <c:showSerName val="0"/>
            <c:showPercent val="0"/>
            <c:showBubbleSize val="0"/>
            <c:showLeaderLines val="0"/>
          </c:dLbls>
          <c:cat>
            <c:strRef>
              <c:f>Plan1!$A$2:$A$9</c:f>
              <c:strCache>
                <c:ptCount val="8"/>
                <c:pt idx="0">
                  <c:v>Primeiro Verão (01/01 - 28/02 -2015)</c:v>
                </c:pt>
                <c:pt idx="1">
                  <c:v>Primeiro Outono (01/03 - 31/05 -2015)</c:v>
                </c:pt>
                <c:pt idx="2">
                  <c:v>Primeiro Inverno(01/06 - 31/08 -2015)</c:v>
                </c:pt>
                <c:pt idx="3">
                  <c:v>Primeira Primavera(01/09 - 30/11 -2015)</c:v>
                </c:pt>
                <c:pt idx="4">
                  <c:v>Segundo Verão(01/12/2015 - 29/02 -2016)</c:v>
                </c:pt>
                <c:pt idx="5">
                  <c:v>Segundo Outono(01/03 - 31/05 -2016)</c:v>
                </c:pt>
                <c:pt idx="6">
                  <c:v>Segundo Inverno (01/06 - 31/08 -2016)</c:v>
                </c:pt>
                <c:pt idx="7">
                  <c:v>Segunda Primavera (01/09 - 01/10 - 2016)</c:v>
                </c:pt>
              </c:strCache>
            </c:strRef>
          </c:cat>
          <c:val>
            <c:numRef>
              <c:f>Plan1!$E$2:$E$9</c:f>
              <c:numCache>
                <c:formatCode>General</c:formatCode>
                <c:ptCount val="8"/>
                <c:pt idx="0">
                  <c:v>1</c:v>
                </c:pt>
                <c:pt idx="1">
                  <c:v>14</c:v>
                </c:pt>
                <c:pt idx="2">
                  <c:v>20</c:v>
                </c:pt>
                <c:pt idx="3">
                  <c:v>26</c:v>
                </c:pt>
                <c:pt idx="4">
                  <c:v>15</c:v>
                </c:pt>
                <c:pt idx="5">
                  <c:v>15</c:v>
                </c:pt>
                <c:pt idx="6">
                  <c:v>8</c:v>
                </c:pt>
                <c:pt idx="7">
                  <c:v>4</c:v>
                </c:pt>
              </c:numCache>
            </c:numRef>
          </c:val>
        </c:ser>
        <c:ser>
          <c:idx val="4"/>
          <c:order val="4"/>
          <c:tx>
            <c:strRef>
              <c:f>Plan1!$F$1</c:f>
              <c:strCache>
                <c:ptCount val="1"/>
                <c:pt idx="0">
                  <c:v>Fauna </c:v>
                </c:pt>
              </c:strCache>
            </c:strRef>
          </c:tx>
          <c:invertIfNegative val="0"/>
          <c:dLbls>
            <c:dLbl>
              <c:idx val="5"/>
              <c:layout>
                <c:manualLayout>
                  <c:x val="5.7978539418635034E-3"/>
                  <c:y val="-8.395989229334131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Plan1!$A$2:$A$9</c:f>
              <c:strCache>
                <c:ptCount val="8"/>
                <c:pt idx="0">
                  <c:v>Primeiro Verão (01/01 - 28/02 -2015)</c:v>
                </c:pt>
                <c:pt idx="1">
                  <c:v>Primeiro Outono (01/03 - 31/05 -2015)</c:v>
                </c:pt>
                <c:pt idx="2">
                  <c:v>Primeiro Inverno(01/06 - 31/08 -2015)</c:v>
                </c:pt>
                <c:pt idx="3">
                  <c:v>Primeira Primavera(01/09 - 30/11 -2015)</c:v>
                </c:pt>
                <c:pt idx="4">
                  <c:v>Segundo Verão(01/12/2015 - 29/02 -2016)</c:v>
                </c:pt>
                <c:pt idx="5">
                  <c:v>Segundo Outono(01/03 - 31/05 -2016)</c:v>
                </c:pt>
                <c:pt idx="6">
                  <c:v>Segundo Inverno (01/06 - 31/08 -2016)</c:v>
                </c:pt>
                <c:pt idx="7">
                  <c:v>Segunda Primavera (01/09 - 01/10 - 2016)</c:v>
                </c:pt>
              </c:strCache>
            </c:strRef>
          </c:cat>
          <c:val>
            <c:numRef>
              <c:f>Plan1!$F$2:$F$9</c:f>
              <c:numCache>
                <c:formatCode>General</c:formatCode>
                <c:ptCount val="8"/>
                <c:pt idx="0">
                  <c:v>0</c:v>
                </c:pt>
                <c:pt idx="1">
                  <c:v>0</c:v>
                </c:pt>
                <c:pt idx="2">
                  <c:v>0</c:v>
                </c:pt>
                <c:pt idx="3">
                  <c:v>0</c:v>
                </c:pt>
                <c:pt idx="4">
                  <c:v>0</c:v>
                </c:pt>
                <c:pt idx="5">
                  <c:v>18</c:v>
                </c:pt>
                <c:pt idx="6">
                  <c:v>36</c:v>
                </c:pt>
                <c:pt idx="7">
                  <c:v>22</c:v>
                </c:pt>
              </c:numCache>
            </c:numRef>
          </c:val>
        </c:ser>
        <c:ser>
          <c:idx val="5"/>
          <c:order val="5"/>
          <c:tx>
            <c:strRef>
              <c:f>Plan1!$G$1</c:f>
              <c:strCache>
                <c:ptCount val="1"/>
                <c:pt idx="0">
                  <c:v>Pesca</c:v>
                </c:pt>
              </c:strCache>
            </c:strRef>
          </c:tx>
          <c:invertIfNegative val="0"/>
          <c:dLbls>
            <c:showLegendKey val="0"/>
            <c:showVal val="1"/>
            <c:showCatName val="0"/>
            <c:showSerName val="0"/>
            <c:showPercent val="0"/>
            <c:showBubbleSize val="0"/>
            <c:showLeaderLines val="0"/>
          </c:dLbls>
          <c:cat>
            <c:strRef>
              <c:f>Plan1!$A$2:$A$9</c:f>
              <c:strCache>
                <c:ptCount val="8"/>
                <c:pt idx="0">
                  <c:v>Primeiro Verão (01/01 - 28/02 -2015)</c:v>
                </c:pt>
                <c:pt idx="1">
                  <c:v>Primeiro Outono (01/03 - 31/05 -2015)</c:v>
                </c:pt>
                <c:pt idx="2">
                  <c:v>Primeiro Inverno(01/06 - 31/08 -2015)</c:v>
                </c:pt>
                <c:pt idx="3">
                  <c:v>Primeira Primavera(01/09 - 30/11 -2015)</c:v>
                </c:pt>
                <c:pt idx="4">
                  <c:v>Segundo Verão(01/12/2015 - 29/02 -2016)</c:v>
                </c:pt>
                <c:pt idx="5">
                  <c:v>Segundo Outono(01/03 - 31/05 -2016)</c:v>
                </c:pt>
                <c:pt idx="6">
                  <c:v>Segundo Inverno (01/06 - 31/08 -2016)</c:v>
                </c:pt>
                <c:pt idx="7">
                  <c:v>Segunda Primavera (01/09 - 01/10 - 2016)</c:v>
                </c:pt>
              </c:strCache>
            </c:strRef>
          </c:cat>
          <c:val>
            <c:numRef>
              <c:f>Plan1!$G$2:$G$9</c:f>
              <c:numCache>
                <c:formatCode>General</c:formatCode>
                <c:ptCount val="8"/>
                <c:pt idx="0">
                  <c:v>0</c:v>
                </c:pt>
                <c:pt idx="1">
                  <c:v>0</c:v>
                </c:pt>
                <c:pt idx="2">
                  <c:v>0</c:v>
                </c:pt>
                <c:pt idx="3">
                  <c:v>0</c:v>
                </c:pt>
                <c:pt idx="4">
                  <c:v>15</c:v>
                </c:pt>
                <c:pt idx="5">
                  <c:v>3</c:v>
                </c:pt>
                <c:pt idx="6">
                  <c:v>8</c:v>
                </c:pt>
                <c:pt idx="7">
                  <c:v>6</c:v>
                </c:pt>
              </c:numCache>
            </c:numRef>
          </c:val>
        </c:ser>
        <c:dLbls>
          <c:showLegendKey val="0"/>
          <c:showVal val="0"/>
          <c:showCatName val="0"/>
          <c:showSerName val="0"/>
          <c:showPercent val="0"/>
          <c:showBubbleSize val="0"/>
        </c:dLbls>
        <c:gapWidth val="150"/>
        <c:axId val="162690944"/>
        <c:axId val="162692480"/>
      </c:barChart>
      <c:catAx>
        <c:axId val="162690944"/>
        <c:scaling>
          <c:orientation val="minMax"/>
        </c:scaling>
        <c:delete val="0"/>
        <c:axPos val="b"/>
        <c:numFmt formatCode="General" sourceLinked="1"/>
        <c:majorTickMark val="out"/>
        <c:minorTickMark val="none"/>
        <c:tickLblPos val="nextTo"/>
        <c:txPr>
          <a:bodyPr/>
          <a:lstStyle/>
          <a:p>
            <a:pPr>
              <a:defRPr sz="700" baseline="0"/>
            </a:pPr>
            <a:endParaRPr lang="pt-BR"/>
          </a:p>
        </c:txPr>
        <c:crossAx val="162692480"/>
        <c:crosses val="autoZero"/>
        <c:auto val="0"/>
        <c:lblAlgn val="ctr"/>
        <c:lblOffset val="100"/>
        <c:noMultiLvlLbl val="0"/>
      </c:catAx>
      <c:valAx>
        <c:axId val="162692480"/>
        <c:scaling>
          <c:orientation val="minMax"/>
        </c:scaling>
        <c:delete val="0"/>
        <c:axPos val="l"/>
        <c:majorGridlines/>
        <c:numFmt formatCode="General" sourceLinked="1"/>
        <c:majorTickMark val="out"/>
        <c:minorTickMark val="none"/>
        <c:tickLblPos val="nextTo"/>
        <c:crossAx val="162690944"/>
        <c:crosses val="autoZero"/>
        <c:crossBetween val="between"/>
      </c:valAx>
    </c:plotArea>
    <c:legend>
      <c:legendPos val="r"/>
      <c:layout>
        <c:manualLayout>
          <c:xMode val="edge"/>
          <c:yMode val="edge"/>
          <c:x val="0.81158455565057019"/>
          <c:y val="1.7214177190902402E-2"/>
          <c:w val="0.18792716373702578"/>
          <c:h val="0.3036478920447671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0589A-7D0A-47BC-8F8C-6B3E39C0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5657</Words>
  <Characters>30548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cp:lastModifiedBy>
  <cp:revision>2</cp:revision>
  <cp:lastPrinted>2016-12-08T13:42:00Z</cp:lastPrinted>
  <dcterms:created xsi:type="dcterms:W3CDTF">2016-12-08T13:43:00Z</dcterms:created>
  <dcterms:modified xsi:type="dcterms:W3CDTF">2016-12-08T13:43:00Z</dcterms:modified>
</cp:coreProperties>
</file>